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0F9C4">
      <w:pPr>
        <w:tabs>
          <w:tab w:val="left" w:pos="1985"/>
        </w:tabs>
        <w:ind w:left="1985" w:hanging="1985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val="en-GB" w:eastAsia="zh-CN"/>
        </w:rPr>
        <w:t>3GPP TSG-RAN WG2 Meeting #12</w:t>
      </w:r>
      <w:r>
        <w:rPr>
          <w:rFonts w:hint="eastAsia" w:ascii="Arial" w:hAnsi="Arial"/>
          <w:b/>
          <w:sz w:val="24"/>
          <w:lang w:val="en-US" w:eastAsia="zh-CN"/>
        </w:rPr>
        <w:t>8</w:t>
      </w:r>
      <w:r>
        <w:rPr>
          <w:rFonts w:hint="eastAsia" w:ascii="Arial" w:hAnsi="Arial"/>
          <w:b/>
          <w:sz w:val="24"/>
          <w:lang w:val="en-GB" w:eastAsia="zh-CN"/>
        </w:rPr>
        <w:t xml:space="preserve">  </w:t>
      </w:r>
      <w:r>
        <w:rPr>
          <w:rFonts w:hint="eastAsia" w:ascii="Arial" w:hAnsi="Arial"/>
          <w:b/>
          <w:sz w:val="24"/>
          <w:lang w:eastAsia="zh-CN"/>
        </w:rPr>
        <w:t xml:space="preserve">                 </w:t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  <w:r>
        <w:rPr>
          <w:rFonts w:hint="eastAsia" w:ascii="Arial" w:hAnsi="Arial"/>
          <w:b/>
          <w:sz w:val="24"/>
          <w:lang w:eastAsia="zh-CN"/>
        </w:rPr>
        <w:t xml:space="preserve">                </w:t>
      </w:r>
      <w:r>
        <w:rPr>
          <w:rFonts w:hint="eastAsia" w:ascii="Arial" w:hAnsi="Arial"/>
          <w:b/>
          <w:sz w:val="24"/>
          <w:lang w:val="en-GB" w:eastAsia="zh-CN"/>
        </w:rPr>
        <w:t xml:space="preserve">  </w:t>
      </w:r>
      <w:r>
        <w:rPr>
          <w:rFonts w:hint="eastAsia" w:ascii="Arial" w:hAnsi="Arial"/>
          <w:b/>
          <w:sz w:val="24"/>
          <w:lang w:val="en-US" w:eastAsia="zh-CN"/>
        </w:rPr>
        <w:tab/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  <w:r>
        <w:rPr>
          <w:rFonts w:hint="eastAsia" w:ascii="Arial" w:hAnsi="Arial"/>
          <w:b/>
          <w:sz w:val="24"/>
          <w:lang w:val="en-GB" w:eastAsia="zh-CN"/>
        </w:rPr>
        <w:t xml:space="preserve"> </w:t>
      </w:r>
      <w:r>
        <w:rPr>
          <w:rFonts w:hint="eastAsia" w:ascii="Arial" w:hAnsi="Arial"/>
          <w:b/>
          <w:sz w:val="24"/>
          <w:lang w:val="en-US" w:eastAsia="zh-CN"/>
        </w:rPr>
        <w:t xml:space="preserve">       </w:t>
      </w:r>
      <w:r>
        <w:rPr>
          <w:rFonts w:hint="default" w:ascii="Arial" w:hAnsi="Arial" w:cs="Arial"/>
          <w:b/>
          <w:sz w:val="21"/>
          <w:szCs w:val="21"/>
        </w:rPr>
        <w:t>R2-2410671</w:t>
      </w:r>
      <w:r>
        <w:rPr>
          <w:rFonts w:hint="eastAsia"/>
          <w:b/>
          <w:kern w:val="2"/>
          <w:lang w:eastAsia="zh-CN"/>
        </w:rPr>
        <w:tab/>
      </w:r>
    </w:p>
    <w:p w14:paraId="2A293D2B">
      <w:pPr>
        <w:tabs>
          <w:tab w:val="left" w:pos="1985"/>
        </w:tabs>
        <w:ind w:left="1985" w:hanging="1985"/>
        <w:rPr>
          <w:rFonts w:hint="default" w:ascii="Arial" w:hAnsi="Arial"/>
          <w:b/>
          <w:sz w:val="24"/>
          <w:lang w:val="en-GB" w:eastAsia="zh-CN"/>
        </w:rPr>
      </w:pPr>
      <w:r>
        <w:rPr>
          <w:rFonts w:hint="default" w:ascii="Arial" w:hAnsi="Arial"/>
          <w:b/>
          <w:sz w:val="24"/>
          <w:lang w:val="en-GB" w:eastAsia="zh-CN"/>
        </w:rPr>
        <w:t>Orlando, USA, Nov 18th – 22th, 2024</w:t>
      </w:r>
    </w:p>
    <w:p w14:paraId="21548723">
      <w:pPr>
        <w:tabs>
          <w:tab w:val="left" w:pos="1985"/>
        </w:tabs>
        <w:ind w:left="1985" w:hanging="1985"/>
        <w:rPr>
          <w:rFonts w:hint="default" w:ascii="Arial" w:hAnsi="Arial"/>
          <w:b/>
          <w:sz w:val="24"/>
          <w:lang w:val="en-GB" w:eastAsia="zh-CN"/>
        </w:rPr>
      </w:pPr>
    </w:p>
    <w:p w14:paraId="17E8DAE7">
      <w:pPr>
        <w:tabs>
          <w:tab w:val="left" w:pos="1985"/>
        </w:tabs>
        <w:ind w:left="1985" w:hanging="1985"/>
        <w:rPr>
          <w:rFonts w:hint="default" w:ascii="Arial" w:hAnsi="Arial"/>
          <w:b/>
          <w:sz w:val="24"/>
          <w:lang w:val="en-GB" w:eastAsia="zh-CN"/>
        </w:rPr>
      </w:pPr>
      <w:r>
        <w:rPr>
          <w:rFonts w:hint="default" w:ascii="Arial" w:hAnsi="Arial"/>
          <w:b/>
          <w:sz w:val="24"/>
          <w:lang w:val="en-GB" w:eastAsia="zh-CN"/>
        </w:rPr>
        <w:t>Agenda item:</w:t>
      </w:r>
      <w:r>
        <w:rPr>
          <w:rFonts w:hint="default" w:ascii="Arial" w:hAnsi="Arial"/>
          <w:b/>
          <w:sz w:val="24"/>
          <w:lang w:val="en-GB" w:eastAsia="zh-CN"/>
        </w:rPr>
        <w:tab/>
      </w:r>
      <w:r>
        <w:rPr>
          <w:rFonts w:hint="default" w:ascii="Arial" w:hAnsi="Arial"/>
          <w:b/>
          <w:sz w:val="24"/>
          <w:lang w:val="en-GB" w:eastAsia="zh-CN"/>
        </w:rPr>
        <w:t>8.8.2</w:t>
      </w:r>
    </w:p>
    <w:p w14:paraId="18D53754">
      <w:pPr>
        <w:tabs>
          <w:tab w:val="left" w:pos="1985"/>
        </w:tabs>
        <w:ind w:left="1985" w:hanging="1985"/>
        <w:rPr>
          <w:rFonts w:hint="default" w:ascii="Arial" w:hAnsi="Arial"/>
          <w:b/>
          <w:sz w:val="24"/>
          <w:lang w:val="en-US" w:eastAsia="zh-CN"/>
        </w:rPr>
      </w:pPr>
      <w:r>
        <w:rPr>
          <w:rFonts w:hint="default" w:ascii="Arial" w:hAnsi="Arial"/>
          <w:b/>
          <w:sz w:val="24"/>
          <w:lang w:val="en-GB" w:eastAsia="zh-CN"/>
        </w:rPr>
        <w:t>Title:</w:t>
      </w:r>
      <w:r>
        <w:rPr>
          <w:rFonts w:hint="default" w:ascii="Arial" w:hAnsi="Arial"/>
          <w:b/>
          <w:sz w:val="24"/>
          <w:lang w:val="en-GB" w:eastAsia="zh-CN"/>
        </w:rPr>
        <w:tab/>
      </w:r>
      <w:r>
        <w:rPr>
          <w:rFonts w:hint="default" w:ascii="Arial" w:hAnsi="Arial"/>
          <w:b/>
          <w:sz w:val="24"/>
          <w:lang w:val="en-GB" w:eastAsia="zh-CN"/>
        </w:rPr>
        <w:t>RAN2 Impact on DL coverage enhancements</w:t>
      </w:r>
      <w:r>
        <w:rPr>
          <w:rFonts w:hint="default" w:ascii="Arial" w:hAnsi="Arial"/>
          <w:b/>
          <w:sz w:val="24"/>
          <w:lang w:val="en-US" w:eastAsia="zh-CN"/>
        </w:rPr>
        <w:tab/>
      </w:r>
      <w:r>
        <w:rPr>
          <w:rFonts w:hint="default" w:ascii="Arial" w:hAnsi="Arial"/>
          <w:b/>
          <w:sz w:val="24"/>
          <w:lang w:val="en-US" w:eastAsia="zh-CN"/>
        </w:rPr>
        <w:t xml:space="preserve"> </w:t>
      </w:r>
    </w:p>
    <w:p w14:paraId="6441E607">
      <w:pPr>
        <w:tabs>
          <w:tab w:val="left" w:pos="1985"/>
        </w:tabs>
        <w:ind w:left="1985" w:hanging="1985"/>
        <w:rPr>
          <w:rFonts w:hint="default" w:ascii="Arial" w:hAnsi="Arial"/>
          <w:b/>
          <w:sz w:val="24"/>
          <w:lang w:val="en-GB" w:eastAsia="zh-CN"/>
        </w:rPr>
      </w:pPr>
      <w:r>
        <w:rPr>
          <w:rFonts w:hint="default" w:ascii="Arial" w:hAnsi="Arial"/>
          <w:b/>
          <w:sz w:val="24"/>
          <w:lang w:val="en-GB" w:eastAsia="zh-CN"/>
        </w:rPr>
        <w:t>Source:</w:t>
      </w:r>
      <w:r>
        <w:rPr>
          <w:rFonts w:hint="default" w:ascii="Arial" w:hAnsi="Arial"/>
          <w:b/>
          <w:sz w:val="24"/>
          <w:lang w:val="en-GB" w:eastAsia="zh-CN"/>
        </w:rPr>
        <w:tab/>
      </w:r>
      <w:r>
        <w:rPr>
          <w:rFonts w:hint="default" w:ascii="Arial" w:hAnsi="Arial"/>
          <w:b/>
          <w:sz w:val="24"/>
          <w:lang w:val="en-GB" w:eastAsia="zh-CN"/>
        </w:rPr>
        <w:t>CMCC</w:t>
      </w:r>
    </w:p>
    <w:p w14:paraId="45F7A736">
      <w:pPr>
        <w:tabs>
          <w:tab w:val="left" w:pos="1985"/>
        </w:tabs>
        <w:ind w:left="1985" w:hanging="1985"/>
        <w:rPr>
          <w:rFonts w:hint="default" w:ascii="Arial" w:hAnsi="Arial"/>
          <w:b/>
          <w:sz w:val="24"/>
          <w:lang w:val="en-GB" w:eastAsia="zh-CN"/>
        </w:rPr>
      </w:pPr>
      <w:r>
        <w:rPr>
          <w:rFonts w:hint="default" w:ascii="Arial" w:hAnsi="Arial"/>
          <w:b/>
          <w:sz w:val="24"/>
          <w:lang w:val="en-GB" w:eastAsia="zh-CN"/>
        </w:rPr>
        <w:t>Document for:</w:t>
      </w:r>
      <w:r>
        <w:rPr>
          <w:rFonts w:hint="default" w:ascii="Arial" w:hAnsi="Arial"/>
          <w:b/>
          <w:sz w:val="24"/>
          <w:lang w:val="en-GB" w:eastAsia="zh-CN"/>
        </w:rPr>
        <w:tab/>
      </w:r>
      <w:r>
        <w:rPr>
          <w:rFonts w:hint="default" w:ascii="Arial" w:hAnsi="Arial"/>
          <w:b/>
          <w:sz w:val="24"/>
          <w:lang w:val="en-GB" w:eastAsia="zh-CN"/>
        </w:rPr>
        <w:t>Discussion</w:t>
      </w:r>
    </w:p>
    <w:p w14:paraId="53356D31">
      <w:pPr>
        <w:pBdr>
          <w:bottom w:val="single" w:color="auto" w:sz="4" w:space="1"/>
        </w:pBdr>
        <w:rPr>
          <w:rFonts w:hint="default" w:ascii="Times New Roman" w:hAnsi="Times New Roman" w:cs="Times New Roman"/>
        </w:rPr>
      </w:pPr>
    </w:p>
    <w:p w14:paraId="0ED27DEF">
      <w:pPr>
        <w:pStyle w:val="2"/>
        <w:keepNext w:val="0"/>
        <w:widowControl w:val="0"/>
        <w:numPr>
          <w:ilvl w:val="0"/>
          <w:numId w:val="6"/>
        </w:numPr>
        <w:pBdr>
          <w:top w:val="single" w:color="auto" w:sz="12" w:space="3"/>
        </w:pBdr>
        <w:spacing w:before="240" w:after="180"/>
        <w:ind w:left="0" w:right="0" w:firstLine="0"/>
        <w:rPr>
          <w:rFonts w:hint="default" w:ascii="Arial" w:hAnsi="Arial" w:eastAsia="宋体" w:cs="Times New Roman"/>
          <w:b w:val="0"/>
          <w:sz w:val="36"/>
          <w:lang w:val="en-GB" w:eastAsia="zh-CN" w:bidi="ar-SA"/>
        </w:rPr>
      </w:pPr>
      <w:r>
        <w:rPr>
          <w:rFonts w:hint="default" w:ascii="Arial" w:hAnsi="Arial" w:eastAsia="宋体" w:cs="Times New Roman"/>
          <w:b w:val="0"/>
          <w:sz w:val="36"/>
          <w:lang w:val="en-GB" w:eastAsia="zh-CN" w:bidi="ar-SA"/>
        </w:rPr>
        <w:t xml:space="preserve"> Introduction</w:t>
      </w:r>
    </w:p>
    <w:p w14:paraId="555E4308">
      <w:pPr>
        <w:spacing w:before="120" w:beforeLines="50" w:after="120" w:afterLines="50"/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</w:pPr>
      <w:r>
        <w:rPr>
          <w:rFonts w:hint="eastAsia" w:cs="Times New Roman"/>
          <w:bCs/>
          <w:iCs/>
          <w:sz w:val="20"/>
          <w:szCs w:val="20"/>
          <w:lang w:val="en-US" w:eastAsia="zh-CN"/>
        </w:rPr>
        <w:t>I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 xml:space="preserve">n 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previous 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>RAN1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 meetings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 xml:space="preserve">, the study of </w:t>
      </w:r>
      <w:r>
        <w:rPr>
          <w:rFonts w:hint="default" w:ascii="Times New Roman" w:hAnsi="Times New Roman" w:cs="Times New Roman"/>
          <w:bCs/>
          <w:iCs/>
          <w:sz w:val="20"/>
          <w:szCs w:val="20"/>
        </w:rPr>
        <w:t xml:space="preserve">downlink coverage 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 xml:space="preserve">enhancement </w:t>
      </w:r>
      <w:r>
        <w:rPr>
          <w:rFonts w:hint="default" w:ascii="Times New Roman" w:hAnsi="Times New Roman" w:cs="Times New Roman"/>
          <w:bCs/>
          <w:iCs/>
          <w:sz w:val="20"/>
          <w:szCs w:val="20"/>
        </w:rPr>
        <w:t>in NR NTN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 xml:space="preserve"> had been discussed, focusing on the </w:t>
      </w:r>
      <w:r>
        <w:rPr>
          <w:rFonts w:hint="default" w:ascii="Times New Roman" w:hAnsi="Times New Roman" w:cs="Times New Roman"/>
          <w:bCs/>
          <w:iCs/>
          <w:sz w:val="20"/>
          <w:szCs w:val="20"/>
        </w:rPr>
        <w:t>evaluation methodology, simulation assumptions and link budget analysis for DL coverage performance.</w:t>
      </w:r>
      <w:r>
        <w:rPr>
          <w:rFonts w:hint="default" w:ascii="Times New Roman" w:hAnsi="Times New Roman" w:cs="Times New Roman"/>
          <w:bCs/>
          <w:iCs/>
          <w:sz w:val="20"/>
          <w:szCs w:val="20"/>
          <w:lang w:val="en-US" w:eastAsia="zh-CN"/>
        </w:rPr>
        <w:t xml:space="preserve"> </w:t>
      </w:r>
    </w:p>
    <w:p w14:paraId="557A23AD">
      <w:pPr>
        <w:spacing w:before="120" w:beforeLines="50" w:after="120" w:afterLines="50"/>
        <w:rPr>
          <w:rFonts w:hint="eastAsia" w:cs="Times New Roman"/>
          <w:bCs/>
          <w:iCs/>
          <w:sz w:val="20"/>
          <w:szCs w:val="20"/>
          <w:lang w:val="en-US" w:eastAsia="zh-CN"/>
        </w:rPr>
      </w:pPr>
      <w:r>
        <w:rPr>
          <w:rFonts w:hint="eastAsia" w:cs="Times New Roman"/>
          <w:bCs/>
          <w:iCs/>
          <w:sz w:val="20"/>
          <w:szCs w:val="20"/>
          <w:lang w:val="en-US" w:eastAsia="zh-CN"/>
        </w:rPr>
        <w:t>And in last RAN1 meeting, the following agreements has acheived: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 w14:paraId="5D5ED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 w14:paraId="7BCD34EF">
            <w:pPr>
              <w:rPr>
                <w:rFonts w:ascii="Times New Roman" w:hAnsi="Times New Roman"/>
                <w:b/>
                <w:bCs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0"/>
                <w:highlight w:val="green"/>
                <w:lang w:val="en-US"/>
              </w:rPr>
              <w:t>Agreement</w:t>
            </w:r>
          </w:p>
          <w:p w14:paraId="21FF70B7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For NR NTN, support extended periodicity of the half frames with SS/PBCH blocks assumed by UE during initial access. </w:t>
            </w:r>
          </w:p>
          <w:p w14:paraId="2794F549">
            <w:pPr>
              <w:pStyle w:val="37"/>
              <w:numPr>
                <w:ilvl w:val="0"/>
                <w:numId w:val="7"/>
              </w:numPr>
              <w:suppressAutoHyphens/>
              <w:ind w:leftChars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The maximum of the additional default value (apart from the existing 20ms value) is </w:t>
            </w:r>
            <w:r>
              <w:rPr>
                <w:rFonts w:ascii="Times New Roman" w:hAnsi="Times New Roman"/>
                <w:szCs w:val="20"/>
                <w:highlight w:val="cyan"/>
              </w:rPr>
              <w:t xml:space="preserve">at least </w:t>
            </w:r>
            <w:r>
              <w:rPr>
                <w:rFonts w:ascii="Times New Roman" w:hAnsi="Times New Roman"/>
                <w:color w:val="FF0000"/>
                <w:szCs w:val="20"/>
                <w:highlight w:val="cyan"/>
              </w:rPr>
              <w:t>160</w:t>
            </w:r>
            <w:r>
              <w:rPr>
                <w:rFonts w:ascii="Times New Roman" w:hAnsi="Times New Roman"/>
                <w:szCs w:val="20"/>
                <w:highlight w:val="cyan"/>
              </w:rPr>
              <w:t xml:space="preserve"> ms</w:t>
            </w:r>
            <w:r>
              <w:rPr>
                <w:rFonts w:ascii="Times New Roman" w:hAnsi="Times New Roman"/>
                <w:szCs w:val="20"/>
              </w:rPr>
              <w:t>.</w:t>
            </w:r>
          </w:p>
          <w:p w14:paraId="15CB60D5">
            <w:pPr>
              <w:pStyle w:val="37"/>
              <w:numPr>
                <w:ilvl w:val="1"/>
                <w:numId w:val="7"/>
              </w:numPr>
              <w:suppressAutoHyphens/>
              <w:ind w:leftChars="0"/>
              <w:rPr>
                <w:rFonts w:hint="default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/>
                <w:szCs w:val="20"/>
              </w:rPr>
              <w:t>FFS: whether 320ms can be supported as the maximum of the additional default value instead of or in addition to 160ms</w:t>
            </w:r>
          </w:p>
        </w:tc>
      </w:tr>
    </w:tbl>
    <w:p w14:paraId="69280059">
      <w:pPr>
        <w:adjustRightInd w:val="0"/>
        <w:snapToGrid w:val="0"/>
        <w:rPr>
          <w:rFonts w:hint="eastAsia" w:cs="Times New Roman"/>
          <w:bCs/>
          <w:iCs/>
          <w:sz w:val="20"/>
          <w:szCs w:val="20"/>
          <w:lang w:val="en-US" w:eastAsia="zh-CN"/>
        </w:rPr>
      </w:pPr>
    </w:p>
    <w:p w14:paraId="5C38D9B4">
      <w:pPr>
        <w:adjustRightInd w:val="0"/>
        <w:snapToGrid w:val="0"/>
        <w:rPr>
          <w:rFonts w:hint="default" w:ascii="Times New Roman" w:hAnsi="Times New Roman" w:cs="Times New Roman" w:eastAsiaTheme="minorEastAsia"/>
          <w:bCs/>
          <w:iCs/>
          <w:sz w:val="20"/>
          <w:szCs w:val="20"/>
          <w:lang w:val="en-US" w:eastAsia="zh-CN"/>
        </w:rPr>
      </w:pP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This means </w:t>
      </w:r>
      <w:r>
        <w:rPr>
          <w:rFonts w:hint="eastAsia" w:ascii="Times New Roman" w:hAnsi="Times New Roman" w:cs="Times New Roman"/>
          <w:bCs/>
          <w:iCs/>
          <w:sz w:val="20"/>
          <w:szCs w:val="20"/>
        </w:rPr>
        <w:t>RAN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cs="Times New Roman"/>
          <w:bCs/>
          <w:iCs/>
          <w:sz w:val="20"/>
          <w:szCs w:val="20"/>
        </w:rPr>
        <w:t xml:space="preserve"> has 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agreed to extend the default SSB dectetion periodicity at least 160ms. Since current RRC signalling can support the SSB </w:t>
      </w:r>
      <w:r>
        <w:rPr>
          <w:rFonts w:ascii="Times New Roman" w:hAnsi="Times New Roman"/>
          <w:szCs w:val="20"/>
        </w:rPr>
        <w:t xml:space="preserve">periodicity </w:t>
      </w:r>
      <w:r>
        <w:rPr>
          <w:rFonts w:hint="eastAsia"/>
          <w:szCs w:val="20"/>
          <w:lang w:val="en-US" w:eastAsia="zh-CN"/>
        </w:rPr>
        <w:t xml:space="preserve">value of 160ms, there is no much impact on RRC signalling. </w:t>
      </w:r>
      <w:r>
        <w:rPr>
          <w:rFonts w:ascii="Times New Roman" w:hAnsi="Times New Roman" w:cs="Times New Roman"/>
          <w:bCs/>
          <w:iCs/>
          <w:sz w:val="20"/>
          <w:szCs w:val="20"/>
        </w:rPr>
        <w:t>I</w:t>
      </w:r>
      <w:r>
        <w:rPr>
          <w:rFonts w:hint="eastAsia" w:ascii="Times New Roman" w:hAnsi="Times New Roman" w:cs="Times New Roman"/>
          <w:bCs/>
          <w:iCs/>
          <w:sz w:val="20"/>
          <w:szCs w:val="20"/>
        </w:rPr>
        <w:t>n this contribution, we</w:t>
      </w:r>
      <w:r>
        <w:rPr>
          <w:rFonts w:hint="eastAsia" w:cs="Times New Roman"/>
          <w:bCs/>
          <w:iCs/>
          <w:sz w:val="20"/>
          <w:szCs w:val="20"/>
          <w:lang w:val="en-US" w:eastAsia="zh-CN"/>
        </w:rPr>
        <w:t xml:space="preserve"> will further</w:t>
      </w:r>
      <w:r>
        <w:rPr>
          <w:rFonts w:hint="eastAsia" w:ascii="Times New Roman" w:hAnsi="Times New Roman" w:cs="Times New Roman"/>
          <w:bCs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 w:val="20"/>
          <w:szCs w:val="20"/>
        </w:rPr>
        <w:t>provide</w:t>
      </w:r>
      <w:r>
        <w:rPr>
          <w:rFonts w:hint="eastAsia" w:ascii="Times New Roman" w:hAnsi="Times New Roman" w:cs="Times New Roman"/>
          <w:bCs/>
          <w:iCs/>
          <w:sz w:val="20"/>
          <w:szCs w:val="20"/>
        </w:rPr>
        <w:t xml:space="preserve"> our views on on RAN2 aspects of DL coverage enhancements (e.g. cell level / beam level DTX/DRX mechanism, etc.).</w:t>
      </w:r>
    </w:p>
    <w:p w14:paraId="08399955">
      <w:pPr>
        <w:pStyle w:val="2"/>
        <w:keepNext w:val="0"/>
        <w:widowControl w:val="0"/>
        <w:numPr>
          <w:ilvl w:val="0"/>
          <w:numId w:val="6"/>
        </w:numPr>
        <w:pBdr>
          <w:top w:val="single" w:color="auto" w:sz="12" w:space="3"/>
        </w:pBdr>
        <w:spacing w:before="240" w:after="180"/>
        <w:ind w:left="0" w:right="0" w:firstLine="0"/>
        <w:rPr>
          <w:rFonts w:hint="default" w:ascii="Arial" w:hAnsi="Arial" w:eastAsia="宋体" w:cs="Times New Roman"/>
          <w:b w:val="0"/>
          <w:sz w:val="36"/>
          <w:lang w:val="en-GB" w:eastAsia="zh-CN" w:bidi="ar-SA"/>
        </w:rPr>
      </w:pPr>
      <w:r>
        <w:rPr>
          <w:rFonts w:hint="default" w:ascii="Arial" w:hAnsi="Arial" w:eastAsia="宋体" w:cs="Times New Roman"/>
          <w:b w:val="0"/>
          <w:sz w:val="36"/>
          <w:lang w:val="en-GB" w:eastAsia="zh-CN" w:bidi="ar-SA"/>
        </w:rPr>
        <w:t>Discussion</w:t>
      </w:r>
    </w:p>
    <w:p w14:paraId="1A48956B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2.1 Design of </w:t>
      </w:r>
      <w:r>
        <w:t>periodic cell DTX/DRX pattern</w:t>
      </w:r>
      <w:r>
        <w:rPr>
          <w:rFonts w:hint="eastAsia"/>
          <w:lang w:val="en-US" w:eastAsia="zh-CN"/>
        </w:rPr>
        <w:t xml:space="preserve"> for DL Coverage enhancement</w:t>
      </w:r>
    </w:p>
    <w:p w14:paraId="3C72C7B8">
      <w:pPr>
        <w:spacing w:after="120" w:afterLines="5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According to the WID objective, Rel-18 network energy saving techniques are expected to be reused as baseline for DL </w:t>
      </w:r>
      <w:r>
        <w:rPr>
          <w:rFonts w:hint="default" w:ascii="Times New Roman" w:hAnsi="Times New Roman" w:cs="Times New Roman"/>
          <w:lang w:val="en-US" w:eastAsia="zh-CN"/>
        </w:rPr>
        <w:t>system level enhancement</w:t>
      </w:r>
      <w:r>
        <w:rPr>
          <w:rFonts w:hint="eastAsia" w:cs="Times New Roman"/>
          <w:lang w:val="en-US" w:eastAsia="zh-CN"/>
        </w:rPr>
        <w:t xml:space="preserve">: </w:t>
      </w:r>
    </w:p>
    <w:p w14:paraId="68D34A25">
      <w:pPr>
        <w:numPr>
          <w:ilvl w:val="0"/>
          <w:numId w:val="8"/>
        </w:numPr>
        <w:spacing w:after="120" w:afterLines="50"/>
        <w:ind w:left="420" w:leftChars="0" w:hanging="420" w:firstLineChars="0"/>
        <w:rPr>
          <w:rFonts w:hint="default" w:ascii="Times New Roman" w:hAnsi="Times New Roman" w:cs="Times New Roman"/>
          <w:i/>
          <w:iCs/>
          <w:lang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eastAsia="en-US"/>
        </w:rPr>
        <w:t>Rel-18 network energy saving techniques</w:t>
      </w:r>
      <w:r>
        <w:rPr>
          <w:rFonts w:hint="default" w:ascii="Times New Roman" w:hAnsi="Times New Roman" w:cs="Times New Roman"/>
          <w:i/>
          <w:iCs/>
          <w:sz w:val="20"/>
          <w:szCs w:val="20"/>
          <w:lang w:eastAsia="en-US"/>
        </w:rPr>
        <w:t xml:space="preserve"> should be considered as baseline in the system level study</w:t>
      </w:r>
    </w:p>
    <w:p w14:paraId="5EC6BDCE">
      <w:pPr>
        <w:rPr>
          <w:highlight w:val="none"/>
          <w:lang w:eastAsia="ko-KR"/>
        </w:rPr>
      </w:pPr>
      <w:r>
        <w:rPr>
          <w:rFonts w:hint="eastAsia"/>
          <w:lang w:val="en-US" w:eastAsia="zh-CN"/>
        </w:rPr>
        <w:t xml:space="preserve">As specified in TS 38.300, current cell DTX/DRX patterns </w:t>
      </w:r>
      <w:r>
        <w:rPr>
          <w:lang w:val="en-US"/>
        </w:rPr>
        <w:t xml:space="preserve">in </w:t>
      </w:r>
      <w:r>
        <w:rPr>
          <w:b/>
          <w:bCs/>
          <w:lang w:val="en-US"/>
        </w:rPr>
        <w:t>Rel-18 NES</w:t>
      </w:r>
      <w:r>
        <w:rPr>
          <w:rFonts w:hint="eastAsia"/>
          <w:lang w:val="en-US" w:eastAsia="zh-CN"/>
        </w:rPr>
        <w:t xml:space="preserve"> is common for the UEs configured with this feature in the </w:t>
      </w:r>
      <w:r>
        <w:rPr>
          <w:rFonts w:hint="eastAsia"/>
          <w:b/>
          <w:bCs/>
          <w:lang w:val="en-US" w:eastAsia="zh-CN"/>
        </w:rPr>
        <w:t>TN cell</w:t>
      </w:r>
      <w:r>
        <w:rPr>
          <w:rFonts w:hint="eastAsia"/>
          <w:lang w:val="en-US" w:eastAsia="zh-CN"/>
        </w:rPr>
        <w:t xml:space="preserve">. </w:t>
      </w:r>
      <w:r>
        <w:rPr>
          <w:lang w:val="en-US"/>
        </w:rPr>
        <w:t xml:space="preserve">For Rel-18 NES, a serving cell can be configured with </w:t>
      </w:r>
      <w:r>
        <w:rPr>
          <w:highlight w:val="none"/>
          <w:lang w:val="en-US"/>
        </w:rPr>
        <w:t>either DTX or DTX+DRX. For cell DTX</w:t>
      </w:r>
      <w:r>
        <w:rPr>
          <w:rFonts w:hint="eastAsia"/>
          <w:highlight w:val="none"/>
          <w:lang w:val="en-US" w:eastAsia="zh-CN"/>
        </w:rPr>
        <w:t>/DRX</w:t>
      </w:r>
      <w:r>
        <w:rPr>
          <w:highlight w:val="none"/>
          <w:lang w:val="en-US"/>
        </w:rPr>
        <w:t xml:space="preserve">, </w:t>
      </w:r>
      <w:r>
        <w:rPr>
          <w:highlight w:val="none"/>
        </w:rPr>
        <w:t xml:space="preserve">each Serving Cell may be configured by RRC with a periodic cell pattern </w:t>
      </w:r>
      <w:r>
        <w:rPr>
          <w:rFonts w:hint="eastAsia"/>
          <w:highlight w:val="none"/>
          <w:lang w:val="en-US" w:eastAsia="zh-CN"/>
        </w:rPr>
        <w:t xml:space="preserve">with only two status, </w:t>
      </w:r>
      <w:r>
        <w:rPr>
          <w:highlight w:val="none"/>
        </w:rPr>
        <w:t xml:space="preserve">i.e., Active and </w:t>
      </w:r>
      <w:r>
        <w:rPr>
          <w:rFonts w:hint="eastAsia"/>
          <w:highlight w:val="none"/>
          <w:lang w:val="en-US" w:eastAsia="zh-CN"/>
        </w:rPr>
        <w:t>Inactive</w:t>
      </w:r>
      <w:r>
        <w:rPr>
          <w:highlight w:val="none"/>
        </w:rPr>
        <w:t xml:space="preserve"> Periods.</w:t>
      </w:r>
      <w:r>
        <w:rPr>
          <w:highlight w:val="none"/>
          <w:lang w:eastAsia="ko-KR"/>
        </w:rPr>
        <w:t xml:space="preserve"> </w:t>
      </w:r>
    </w:p>
    <w:p w14:paraId="0BC489AB">
      <w:pPr>
        <w:spacing w:after="120" w:afterLines="50"/>
        <w:rPr>
          <w:rFonts w:hint="eastAsia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For the </w:t>
      </w:r>
      <w:r>
        <w:rPr>
          <w:rFonts w:hint="eastAsia"/>
          <w:b/>
          <w:bCs/>
          <w:highlight w:val="none"/>
          <w:lang w:val="en-US" w:eastAsia="zh-CN"/>
        </w:rPr>
        <w:t>NTN cell</w:t>
      </w:r>
      <w:r>
        <w:rPr>
          <w:rFonts w:hint="eastAsia"/>
          <w:highlight w:val="none"/>
          <w:lang w:val="en-US" w:eastAsia="zh-CN"/>
        </w:rPr>
        <w:t>, a</w:t>
      </w:r>
      <w:r>
        <w:rPr>
          <w:rFonts w:hint="default" w:ascii="Times New Roman" w:hAnsi="Times New Roman" w:cs="Times New Roman"/>
          <w:lang w:val="en-US" w:eastAsia="zh-CN"/>
        </w:rPr>
        <w:t xml:space="preserve">ccording to the agreed assumption in RAN1, </w:t>
      </w:r>
      <w:r>
        <w:rPr>
          <w:rFonts w:hint="eastAsia" w:cs="Times New Roman"/>
          <w:lang w:val="en-US" w:eastAsia="zh-C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 xml:space="preserve"> satellite may have large satellite footprint and limited feeder link bandwidth, especially in </w:t>
      </w:r>
      <w:r>
        <w:rPr>
          <w:rFonts w:hint="default" w:ascii="Times New Roman" w:hAnsi="Times New Roman" w:cs="Times New Roman"/>
          <w:b/>
          <w:kern w:val="24"/>
          <w:szCs w:val="20"/>
        </w:rPr>
        <w:t>Set1-2</w:t>
      </w:r>
      <w:r>
        <w:rPr>
          <w:rFonts w:hint="eastAsia" w:cs="Times New Roman"/>
          <w:b/>
          <w:kern w:val="24"/>
          <w:szCs w:val="20"/>
          <w:lang w:val="en-US" w:eastAsia="zh-CN"/>
        </w:rPr>
        <w:t xml:space="preserve"> </w:t>
      </w:r>
      <w:r>
        <w:rPr>
          <w:rFonts w:hint="eastAsia" w:cs="Times New Roman"/>
          <w:b w:val="0"/>
          <w:bCs/>
          <w:kern w:val="24"/>
          <w:szCs w:val="20"/>
          <w:lang w:val="en-US" w:eastAsia="zh-CN"/>
        </w:rPr>
        <w:t>in RAN1 agreement</w:t>
      </w:r>
      <w:r>
        <w:rPr>
          <w:rFonts w:hint="default" w:ascii="Times New Roman" w:hAnsi="Times New Roman" w:cs="Times New Roman"/>
          <w:lang w:val="en-US" w:eastAsia="zh-CN"/>
        </w:rPr>
        <w:t xml:space="preserve">. </w:t>
      </w:r>
      <w:r>
        <w:rPr>
          <w:rFonts w:hint="eastAsia" w:cs="Times New Roman"/>
          <w:lang w:val="en-US" w:eastAsia="zh-CN"/>
        </w:rPr>
        <w:t>F</w:t>
      </w:r>
      <w:r>
        <w:rPr>
          <w:rFonts w:hint="default" w:ascii="Times New Roman" w:hAnsi="Times New Roman" w:cs="Times New Roman"/>
          <w:lang w:val="en-US" w:eastAsia="zh-CN"/>
        </w:rPr>
        <w:t xml:space="preserve">or </w:t>
      </w:r>
      <w:r>
        <w:rPr>
          <w:rFonts w:hint="default" w:ascii="Times New Roman" w:hAnsi="Times New Roman" w:cs="Times New Roman"/>
          <w:b/>
          <w:kern w:val="24"/>
          <w:szCs w:val="20"/>
        </w:rPr>
        <w:t>Set1-2</w:t>
      </w:r>
      <w:r>
        <w:rPr>
          <w:rFonts w:hint="default" w:ascii="Times New Roman" w:hAnsi="Times New Roman" w:cs="Times New Roman"/>
          <w:lang w:val="en-US" w:eastAsia="zh-CN"/>
        </w:rPr>
        <w:t xml:space="preserve">, the number of active beams is just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16</w:t>
      </w:r>
      <w:r>
        <w:rPr>
          <w:rFonts w:hint="default" w:ascii="Times New Roman" w:hAnsi="Times New Roman" w:cs="Times New Roman"/>
          <w:lang w:val="en-US" w:eastAsia="zh-CN"/>
        </w:rPr>
        <w:t xml:space="preserve">, which is constrained by satellite payload capability, it </w:t>
      </w:r>
      <w:r>
        <w:rPr>
          <w:rFonts w:hint="eastAsia" w:cs="Times New Roman"/>
          <w:lang w:val="en-US" w:eastAsia="zh-CN"/>
        </w:rPr>
        <w:t>is</w:t>
      </w:r>
      <w:r>
        <w:rPr>
          <w:rFonts w:hint="default" w:ascii="Times New Roman" w:hAnsi="Times New Roman" w:cs="Times New Roman"/>
          <w:lang w:val="en-US" w:eastAsia="zh-CN"/>
        </w:rPr>
        <w:t xml:space="preserve"> not be able to provide NR service for all beam footprints, the total number of the beam footprints is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1058</w:t>
      </w:r>
      <w:r>
        <w:rPr>
          <w:rFonts w:hint="default" w:ascii="Times New Roman" w:hAnsi="Times New Roman" w:cs="Times New Roman"/>
          <w:lang w:val="en-US" w:eastAsia="zh-CN"/>
        </w:rPr>
        <w:t xml:space="preserve">. As shown in the table, without system level coverage enhancement, the effective coverage providing communication service/common signaling can only be transmitted for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1.5%</w:t>
      </w:r>
      <w:r>
        <w:rPr>
          <w:rFonts w:hint="default" w:ascii="Times New Roman" w:hAnsi="Times New Roman" w:cs="Times New Roman"/>
          <w:lang w:val="en-US" w:eastAsia="zh-CN"/>
        </w:rPr>
        <w:t xml:space="preserve"> of beam footprints within a satellite footprint. </w:t>
      </w:r>
    </w:p>
    <w:p w14:paraId="2B139FE2">
      <w:pPr>
        <w:spacing w:after="120" w:afterLines="50"/>
        <w:jc w:val="center"/>
        <w:rPr>
          <w:rFonts w:hint="default" w:cs="Times New Roman"/>
          <w:b w:val="0"/>
          <w:bCs w:val="0"/>
          <w:lang w:val="en-US" w:eastAsia="zh-CN"/>
        </w:rPr>
      </w:pPr>
      <w:r>
        <w:rPr>
          <w:rFonts w:hint="default" w:cs="Times New Roman"/>
          <w:b w:val="0"/>
          <w:bCs w:val="0"/>
          <w:lang w:val="en-US" w:eastAsia="zh-CN"/>
        </w:rPr>
        <w:object>
          <v:shape id="_x0000_i1027" o:spt="75" alt="" type="#_x0000_t75" style="height:91.15pt;width:262.9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Visio.Drawing.15" ShapeID="_x0000_i1027" DrawAspect="Content" ObjectID="_1468075725" r:id="rId4">
            <o:LockedField>false</o:LockedField>
          </o:OLEObject>
        </w:object>
      </w:r>
    </w:p>
    <w:p w14:paraId="66CA509F">
      <w:pPr>
        <w:pStyle w:val="11"/>
        <w:rPr>
          <w:i/>
          <w:iCs/>
        </w:rPr>
      </w:pPr>
      <w:r>
        <w:rPr>
          <w:rFonts w:hint="eastAsia" w:cs="Times New Roman"/>
          <w:b/>
          <w:bCs/>
          <w:lang w:val="en-US" w:eastAsia="zh-CN"/>
        </w:rPr>
        <w:t xml:space="preserve">Figure 1 Two scenarios of </w:t>
      </w:r>
      <w:r>
        <w:t>the satellite target coverage area</w:t>
      </w:r>
      <w:r>
        <w:rPr>
          <w:rFonts w:hint="eastAsia" w:hAnsi="Cambria Math" w:cs="Times New Roman"/>
          <w:b/>
          <w:bCs/>
          <w:i w:val="0"/>
          <w:lang w:val="en-US" w:eastAsia="zh-CN"/>
        </w:rPr>
        <w:t xml:space="preserve"> in </w:t>
      </w:r>
      <w:r>
        <w:rPr>
          <w:rFonts w:hint="eastAsia" w:cs="Times New Roman"/>
          <w:b/>
          <w:bCs/>
          <w:lang w:val="en-US" w:eastAsia="zh-CN"/>
        </w:rPr>
        <w:t>NTN system</w:t>
      </w:r>
    </w:p>
    <w:p w14:paraId="527BB806">
      <w:pPr>
        <w:pStyle w:val="44"/>
        <w:numPr>
          <w:ilvl w:val="0"/>
          <w:numId w:val="0"/>
        </w:numPr>
        <w:ind w:left="360" w:leftChars="0"/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</w:pPr>
    </w:p>
    <w:p w14:paraId="1FBA9A2F">
      <w:r>
        <w:rPr>
          <w:rFonts w:hint="eastAsia" w:cs="Times New Roman"/>
          <w:b w:val="0"/>
          <w:bCs w:val="0"/>
          <w:lang w:val="en-US" w:eastAsia="zh-CN"/>
        </w:rPr>
        <w:t xml:space="preserve">As shown in Figure1, </w:t>
      </w:r>
      <w:r>
        <w:rPr>
          <w:rFonts w:hint="eastAsia"/>
          <w:lang w:val="en-US" w:eastAsia="zh-CN"/>
        </w:rPr>
        <w:t>t</w:t>
      </w:r>
      <w:r>
        <w:t xml:space="preserve">here are mainly </w:t>
      </w:r>
      <w:r>
        <w:rPr>
          <w:rFonts w:hint="eastAsia"/>
          <w:lang w:val="en-US" w:eastAsia="zh-CN"/>
        </w:rPr>
        <w:t>2</w:t>
      </w:r>
      <w:r>
        <w:t xml:space="preserve"> options which can be considered for the mapping of NR beams and NR cells to </w:t>
      </w:r>
      <w:r>
        <w:rPr>
          <w:rFonts w:hint="eastAsia"/>
          <w:lang w:val="en-US" w:eastAsia="zh-CN"/>
        </w:rPr>
        <w:t>one</w:t>
      </w:r>
      <w:r>
        <w:t xml:space="preserve"> satellite beams:</w:t>
      </w:r>
    </w:p>
    <w:p w14:paraId="5E581D5D">
      <w:pPr>
        <w:numPr>
          <w:ilvl w:val="0"/>
          <w:numId w:val="9"/>
        </w:numPr>
        <w:ind w:left="420" w:leftChars="0" w:hanging="420" w:firstLineChars="0"/>
        <w:rPr>
          <w:rFonts w:hint="default" w:cs="Times New Roman"/>
          <w:b w:val="0"/>
          <w:bCs w:val="0"/>
          <w:lang w:val="en-US" w:eastAsia="zh-CN"/>
        </w:rPr>
      </w:pPr>
      <w:r>
        <w:rPr>
          <w:rFonts w:hint="eastAsia"/>
          <w:b/>
          <w:lang w:val="en-US" w:eastAsia="zh-CN"/>
        </w:rPr>
        <w:t>Scenario</w:t>
      </w:r>
      <w:r>
        <w:rPr>
          <w:b/>
        </w:rPr>
        <w:t xml:space="preserve"> 1: </w:t>
      </w:r>
      <w:r>
        <w:rPr>
          <w:rFonts w:hint="eastAsia"/>
          <w:b/>
          <w:lang w:val="en-US" w:eastAsia="zh-CN"/>
        </w:rPr>
        <w:t>Different PCIs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for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mutiple</w:t>
      </w:r>
      <w:r>
        <w:rPr>
          <w:b/>
        </w:rPr>
        <w:t xml:space="preserve"> bea</w:t>
      </w:r>
      <w:r>
        <w:rPr>
          <w:rFonts w:hint="eastAsia"/>
          <w:b/>
          <w:lang w:val="en-US" w:eastAsia="zh-CN"/>
        </w:rPr>
        <w:t xml:space="preserve">m </w:t>
      </w:r>
      <w:r>
        <w:rPr>
          <w:rFonts w:hint="default"/>
          <w:b/>
          <w:lang w:val="en-US" w:eastAsia="zh-CN"/>
        </w:rPr>
        <w:t>footprints</w:t>
      </w:r>
      <w:r>
        <w:rPr>
          <w:rFonts w:hint="eastAsia"/>
          <w:b/>
          <w:lang w:val="en-US" w:eastAsia="zh-CN"/>
        </w:rPr>
        <w:t xml:space="preserve"> in one satellite </w:t>
      </w:r>
      <w:r>
        <w:rPr>
          <w:b/>
        </w:rPr>
        <w:t>cell</w:t>
      </w:r>
      <w:r>
        <w:rPr>
          <w:rFonts w:hint="eastAsia"/>
          <w:b/>
          <w:lang w:val="en-US" w:eastAsia="zh-CN"/>
        </w:rPr>
        <w:t xml:space="preserve"> (1-to-1 mapping);</w:t>
      </w:r>
    </w:p>
    <w:p w14:paraId="64DB8B41">
      <w:pPr>
        <w:numPr>
          <w:ilvl w:val="0"/>
          <w:numId w:val="9"/>
        </w:numPr>
        <w:ind w:left="420" w:leftChars="0" w:hanging="420" w:firstLineChars="0"/>
        <w:rPr>
          <w:b/>
        </w:rPr>
      </w:pPr>
      <w:r>
        <w:rPr>
          <w:rFonts w:hint="eastAsia"/>
          <w:b/>
          <w:lang w:val="en-US" w:eastAsia="zh-CN"/>
        </w:rPr>
        <w:t>Scenario</w:t>
      </w:r>
      <w:r>
        <w:rPr>
          <w:b/>
        </w:rPr>
        <w:t xml:space="preserve"> 2: </w:t>
      </w:r>
      <w:r>
        <w:rPr>
          <w:rFonts w:hint="eastAsia"/>
          <w:b/>
          <w:lang w:val="en-US" w:eastAsia="zh-CN"/>
        </w:rPr>
        <w:t xml:space="preserve">Single PCI for </w:t>
      </w:r>
      <w:r>
        <w:rPr>
          <w:b/>
        </w:rPr>
        <w:t xml:space="preserve">Multi-beam </w:t>
      </w:r>
      <w:r>
        <w:rPr>
          <w:rFonts w:hint="default"/>
          <w:b/>
          <w:lang w:val="en-US" w:eastAsia="zh-CN"/>
        </w:rPr>
        <w:t>footprints</w:t>
      </w:r>
      <w:r>
        <w:rPr>
          <w:rFonts w:hint="eastAsia"/>
          <w:b/>
          <w:lang w:val="en-US" w:eastAsia="zh-CN"/>
        </w:rPr>
        <w:t xml:space="preserve"> in one satellite </w:t>
      </w:r>
      <w:r>
        <w:rPr>
          <w:b/>
        </w:rPr>
        <w:t>cell</w:t>
      </w:r>
      <w:r>
        <w:rPr>
          <w:rFonts w:hint="eastAsia"/>
          <w:b/>
          <w:lang w:val="en-US" w:eastAsia="zh-CN"/>
        </w:rPr>
        <w:t xml:space="preserve"> (multiple-to-1 mapping)</w:t>
      </w:r>
    </w:p>
    <w:p w14:paraId="755AAAB0">
      <w:pPr>
        <w:spacing w:after="120" w:afterLines="50"/>
        <w:rPr>
          <w:rFonts w:hint="eastAsia" w:cs="Times New Roman"/>
          <w:b w:val="0"/>
          <w:bCs w:val="0"/>
          <w:lang w:val="en-US" w:eastAsia="zh-CN"/>
        </w:rPr>
      </w:pPr>
    </w:p>
    <w:p w14:paraId="7B97D423">
      <w:pPr>
        <w:spacing w:after="120" w:afterLines="5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b w:val="0"/>
          <w:bCs w:val="0"/>
          <w:lang w:val="en-US" w:eastAsia="zh-CN"/>
        </w:rPr>
        <w:t xml:space="preserve">Regarding </w:t>
      </w:r>
      <w:r>
        <w:rPr>
          <w:rFonts w:hint="eastAsia"/>
          <w:b/>
          <w:lang w:val="en-US" w:eastAsia="zh-CN"/>
        </w:rPr>
        <w:t>Scenario</w:t>
      </w:r>
      <w:r>
        <w:rPr>
          <w:b/>
        </w:rPr>
        <w:t xml:space="preserve"> 1</w:t>
      </w:r>
      <w:r>
        <w:rPr>
          <w:rFonts w:hint="eastAsia"/>
          <w:b/>
          <w:lang w:val="en-US" w:eastAsia="zh-CN"/>
        </w:rPr>
        <w:t xml:space="preserve">, </w:t>
      </w:r>
      <w:r>
        <w:t xml:space="preserve">which might be considered as a baseline consist in one-to-one mapping of </w:t>
      </w:r>
      <w:r>
        <w:rPr>
          <w:rFonts w:hint="eastAsia"/>
          <w:lang w:val="en-US" w:eastAsia="zh-CN"/>
        </w:rPr>
        <w:t xml:space="preserve">one beam (similar to one Terrestrial-network cell) </w:t>
      </w:r>
      <w:r>
        <w:t xml:space="preserve">to Satellite </w:t>
      </w:r>
      <w:r>
        <w:rPr>
          <w:rFonts w:hint="eastAsia"/>
          <w:lang w:val="en-US" w:eastAsia="zh-CN"/>
        </w:rPr>
        <w:t>cell</w:t>
      </w:r>
      <w:r>
        <w:t xml:space="preserve">. In option 1, the </w:t>
      </w:r>
      <w:r>
        <w:rPr>
          <w:rFonts w:hint="eastAsia"/>
          <w:lang w:val="en-US" w:eastAsia="zh-CN"/>
        </w:rPr>
        <w:t>beam hopping can be modelled as cell switching</w:t>
      </w:r>
      <w:r>
        <w:t xml:space="preserve">. </w:t>
      </w:r>
      <w:r>
        <w:rPr>
          <w:rFonts w:hint="eastAsia"/>
          <w:lang w:val="en-US" w:eastAsia="zh-CN"/>
        </w:rPr>
        <w:t xml:space="preserve">Hence, </w:t>
      </w:r>
      <w:r>
        <w:t>NR Beam management operation is not needed.</w:t>
      </w:r>
      <w:r>
        <w:rPr>
          <w:rFonts w:hint="eastAsia"/>
          <w:lang w:val="en-US" w:eastAsia="zh-CN"/>
        </w:rPr>
        <w:t xml:space="preserve"> </w:t>
      </w:r>
    </w:p>
    <w:p w14:paraId="2D6B8290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Moreover, as indicated in RAN1 LS as follows:</w:t>
      </w:r>
    </w:p>
    <w:p w14:paraId="2D2F2DC0">
      <w:pPr>
        <w:pStyle w:val="44"/>
        <w:numPr>
          <w:ilvl w:val="0"/>
          <w:numId w:val="10"/>
        </w:numP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Beam footprint status in terms of "off", "common messages only" and "active traffic"  in one of the RAN1 agreements is only defined for the sake of system-level evaluation methodology.</w:t>
      </w:r>
    </w:p>
    <w:p w14:paraId="78FA1833">
      <w:pPr>
        <w:rPr>
          <w:rFonts w:hint="eastAsia" w:eastAsiaTheme="minorEastAsia"/>
          <w:lang w:val="en-US" w:eastAsia="zh-CN"/>
        </w:rPr>
      </w:pPr>
    </w:p>
    <w:p w14:paraId="641AC036">
      <w:pPr>
        <w:spacing w:after="120" w:afterLines="50"/>
        <w:rPr>
          <w:rFonts w:hint="eastAsia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This means there is </w:t>
      </w:r>
      <w:r>
        <w:rPr>
          <w:rFonts w:hint="eastAsia"/>
          <w:b/>
          <w:bCs/>
          <w:highlight w:val="none"/>
          <w:lang w:val="en-US" w:eastAsia="zh-CN"/>
        </w:rPr>
        <w:t xml:space="preserve">no term of N1, N2, N3 beam </w:t>
      </w:r>
      <w:r>
        <w:rPr>
          <w:rFonts w:hint="eastAsia"/>
          <w:highlight w:val="none"/>
          <w:lang w:val="en-US" w:eastAsia="zh-CN"/>
        </w:rPr>
        <w:t xml:space="preserve">introduced in the spec. And </w:t>
      </w:r>
      <w:r>
        <w:rPr>
          <w:rFonts w:hint="eastAsia" w:cs="Times New Roman"/>
          <w:lang w:val="en-US" w:eastAsia="zh-CN"/>
        </w:rPr>
        <w:t xml:space="preserve">a UE in a satellite cell is expected to be transited among only the two status for </w:t>
      </w:r>
      <w:r>
        <w:rPr>
          <w:rFonts w:hint="default" w:cs="Times New Roman"/>
          <w:lang w:val="en-US" w:eastAsia="zh-CN"/>
        </w:rPr>
        <w:t>beam footprints</w:t>
      </w:r>
      <w:r>
        <w:rPr>
          <w:rFonts w:hint="eastAsia" w:cs="Times New Roman"/>
          <w:lang w:val="en-US" w:eastAsia="zh-CN"/>
        </w:rPr>
        <w:t>, where beam status is to switch among ON and deactive during the beam hopping procedure. Hnece,  the current</w:t>
      </w:r>
      <w:r>
        <w:t xml:space="preserve"> periodic cell DTX/DRX pattern (i.e. active and non-active periods)</w:t>
      </w:r>
      <w:r>
        <w:rPr>
          <w:rFonts w:hint="eastAsia"/>
          <w:lang w:val="en-US" w:eastAsia="zh-CN"/>
        </w:rPr>
        <w:t xml:space="preserve"> for </w:t>
      </w:r>
      <w:r>
        <w:t>reducing gNB downlink transmission/uplink reception active time</w:t>
      </w:r>
      <w:r>
        <w:rPr>
          <w:rFonts w:hint="eastAsia"/>
          <w:lang w:val="en-US" w:eastAsia="zh-CN"/>
        </w:rPr>
        <w:t xml:space="preserve"> seems can be utilized for the </w:t>
      </w:r>
      <w:r>
        <w:rPr>
          <w:rFonts w:hint="eastAsia" w:cs="Times New Roman"/>
          <w:lang w:val="en-US" w:eastAsia="zh-CN"/>
        </w:rPr>
        <w:t xml:space="preserve">DL </w:t>
      </w:r>
      <w:r>
        <w:rPr>
          <w:rFonts w:hint="default" w:ascii="Times New Roman" w:hAnsi="Times New Roman" w:cs="Times New Roman"/>
          <w:lang w:val="en-US" w:eastAsia="zh-CN"/>
        </w:rPr>
        <w:t>system level enhancement</w:t>
      </w:r>
      <w:r>
        <w:rPr>
          <w:rFonts w:hint="eastAsia" w:cs="Times New Roman"/>
          <w:lang w:val="en-US" w:eastAsia="zh-CN"/>
        </w:rPr>
        <w:t xml:space="preserve"> (i.e., </w:t>
      </w:r>
      <w:r>
        <w:rPr>
          <w:rFonts w:hint="eastAsia"/>
          <w:lang w:val="en-US" w:eastAsia="zh-CN"/>
        </w:rPr>
        <w:t xml:space="preserve">beam hopping </w:t>
      </w:r>
      <w:r>
        <w:rPr>
          <w:rFonts w:hint="eastAsia" w:cs="Times New Roman"/>
          <w:lang w:val="en-US" w:eastAsia="zh-CN"/>
        </w:rPr>
        <w:t xml:space="preserve">) </w:t>
      </w:r>
      <w:r>
        <w:rPr>
          <w:rFonts w:hint="eastAsia"/>
          <w:lang w:val="en-US" w:eastAsia="zh-CN"/>
        </w:rPr>
        <w:t xml:space="preserve">use case. </w:t>
      </w:r>
    </w:p>
    <w:p w14:paraId="0B9A65F9">
      <w:pPr>
        <w:spacing w:after="120" w:afterLines="50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 xml:space="preserve">Proposal 1: for senario1, i.e. </w:t>
      </w:r>
      <w:r>
        <w:rPr>
          <w:rFonts w:hint="eastAsia"/>
          <w:b/>
          <w:lang w:val="en-US" w:eastAsia="zh-CN"/>
        </w:rPr>
        <w:t>Different PCIs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for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mutiple</w:t>
      </w:r>
      <w:r>
        <w:rPr>
          <w:b/>
        </w:rPr>
        <w:t xml:space="preserve"> bea</w:t>
      </w:r>
      <w:r>
        <w:rPr>
          <w:rFonts w:hint="eastAsia"/>
          <w:b/>
          <w:lang w:val="en-US" w:eastAsia="zh-CN"/>
        </w:rPr>
        <w:t xml:space="preserve">m </w:t>
      </w:r>
      <w:r>
        <w:rPr>
          <w:rFonts w:hint="default"/>
          <w:b/>
          <w:lang w:val="en-US" w:eastAsia="zh-CN"/>
        </w:rPr>
        <w:t>footprints</w:t>
      </w:r>
      <w:r>
        <w:rPr>
          <w:rFonts w:hint="eastAsia"/>
          <w:b/>
          <w:lang w:val="en-US" w:eastAsia="zh-CN"/>
        </w:rPr>
        <w:t xml:space="preserve"> in one satellite </w:t>
      </w:r>
      <w:r>
        <w:rPr>
          <w:b/>
        </w:rPr>
        <w:t>cell</w:t>
      </w:r>
      <w:r>
        <w:rPr>
          <w:rFonts w:hint="eastAsia"/>
          <w:b/>
          <w:lang w:val="en-US" w:eastAsia="zh-CN"/>
        </w:rPr>
        <w:t xml:space="preserve"> (1-to-1 mapping)</w:t>
      </w:r>
      <w:r>
        <w:rPr>
          <w:rFonts w:hint="eastAsia" w:cs="Times New Roman"/>
          <w:b/>
          <w:bCs/>
          <w:lang w:val="en-US" w:eastAsia="zh-CN"/>
        </w:rPr>
        <w:t>, the current</w:t>
      </w:r>
      <w:r>
        <w:rPr>
          <w:b/>
          <w:bCs/>
        </w:rPr>
        <w:t xml:space="preserve"> periodic cell DTX/DRX pattern (i.e. active and non-active periods)</w:t>
      </w:r>
      <w:r>
        <w:rPr>
          <w:rFonts w:hint="eastAsia"/>
          <w:b/>
          <w:bCs/>
          <w:lang w:val="en-US" w:eastAsia="zh-CN"/>
        </w:rPr>
        <w:t xml:space="preserve"> in Rel-18 NES for </w:t>
      </w:r>
      <w:r>
        <w:rPr>
          <w:b/>
          <w:bCs/>
        </w:rPr>
        <w:t>reducing gNB downlink transmission/uplink reception active time</w:t>
      </w:r>
      <w:r>
        <w:rPr>
          <w:rFonts w:hint="eastAsia"/>
          <w:b/>
          <w:bCs/>
          <w:lang w:val="en-US" w:eastAsia="zh-CN"/>
        </w:rPr>
        <w:t xml:space="preserve"> seems can be utilized for the </w:t>
      </w:r>
      <w:r>
        <w:rPr>
          <w:rFonts w:hint="eastAsia" w:cs="Times New Roman"/>
          <w:b/>
          <w:bCs/>
          <w:lang w:val="en-US" w:eastAsia="zh-CN"/>
        </w:rPr>
        <w:t xml:space="preserve">DL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system level enhancement</w:t>
      </w:r>
      <w:r>
        <w:rPr>
          <w:rFonts w:hint="eastAsia" w:cs="Times New Roman"/>
          <w:b/>
          <w:bCs/>
          <w:lang w:val="en-US" w:eastAsia="zh-CN"/>
        </w:rPr>
        <w:t xml:space="preserve"> (i.e., </w:t>
      </w:r>
      <w:r>
        <w:rPr>
          <w:rFonts w:hint="eastAsia"/>
          <w:b/>
          <w:bCs/>
          <w:lang w:val="en-US" w:eastAsia="zh-CN"/>
        </w:rPr>
        <w:t xml:space="preserve">beam hopping </w:t>
      </w:r>
      <w:r>
        <w:rPr>
          <w:rFonts w:hint="eastAsia" w:cs="Times New Roman"/>
          <w:b/>
          <w:bCs/>
          <w:lang w:val="en-US" w:eastAsia="zh-CN"/>
        </w:rPr>
        <w:t xml:space="preserve">) </w:t>
      </w:r>
      <w:r>
        <w:rPr>
          <w:rFonts w:hint="eastAsia"/>
          <w:b/>
          <w:bCs/>
          <w:lang w:val="en-US" w:eastAsia="zh-CN"/>
        </w:rPr>
        <w:t>use case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.</w:t>
      </w:r>
    </w:p>
    <w:p w14:paraId="2143E5C6">
      <w:pPr>
        <w:rPr>
          <w:rFonts w:hint="eastAsia"/>
          <w:lang w:val="en-US" w:eastAsia="zh-CN"/>
        </w:rPr>
      </w:pPr>
      <w:r>
        <w:rPr>
          <w:rFonts w:hint="eastAsia" w:cs="Times New Roman"/>
          <w:b w:val="0"/>
          <w:bCs w:val="0"/>
          <w:lang w:val="en-US" w:eastAsia="zh-CN"/>
        </w:rPr>
        <w:t xml:space="preserve">Then for scenario 2, </w:t>
      </w:r>
      <w:r>
        <w:t>multiple NR beams per NR cell</w:t>
      </w:r>
      <w:r>
        <w:rPr>
          <w:rFonts w:hint="eastAsia"/>
          <w:lang w:val="en-US" w:eastAsia="zh-CN"/>
        </w:rPr>
        <w:t>, with</w:t>
      </w:r>
      <w:r>
        <w:t xml:space="preserve"> the same cell (PCI) is mapped to </w:t>
      </w:r>
      <w:r>
        <w:rPr>
          <w:rFonts w:hint="eastAsia"/>
          <w:lang w:val="en-US" w:eastAsia="zh-CN"/>
        </w:rPr>
        <w:t>partial numbers of</w:t>
      </w:r>
      <w:r>
        <w:t xml:space="preserve"> satellite beams</w:t>
      </w:r>
      <w:r>
        <w:rPr>
          <w:rFonts w:hint="eastAsia"/>
          <w:lang w:val="en-US" w:eastAsia="zh-CN"/>
        </w:rPr>
        <w:t xml:space="preserve"> (e.g., quarter beams in one satellite cell)</w:t>
      </w:r>
      <w:r>
        <w:t xml:space="preserve">. </w:t>
      </w:r>
      <w:r>
        <w:rPr>
          <w:rFonts w:hint="eastAsia"/>
          <w:lang w:val="en-US" w:eastAsia="zh-CN"/>
        </w:rPr>
        <w:t xml:space="preserve">This means the granulartiy of </w:t>
      </w:r>
      <w:r>
        <w:rPr>
          <w:rFonts w:hint="eastAsia" w:cs="Times New Roman"/>
          <w:lang w:val="en-US" w:eastAsia="zh-CN"/>
        </w:rPr>
        <w:t>the current</w:t>
      </w:r>
      <w:r>
        <w:t xml:space="preserve"> periodic cell DTX/DRX pattern </w:t>
      </w:r>
      <w:r>
        <w:rPr>
          <w:rFonts w:hint="eastAsia"/>
          <w:lang w:val="en-US" w:eastAsia="zh-CN"/>
        </w:rPr>
        <w:t xml:space="preserve">can not be directly applied to this senario, since different </w:t>
      </w:r>
      <w:r>
        <w:rPr>
          <w:rFonts w:hint="default" w:ascii="Times New Roman" w:hAnsi="Times New Roman" w:cs="Times New Roman"/>
          <w:lang w:val="en-US" w:eastAsia="zh-CN"/>
        </w:rPr>
        <w:t>beam footprints</w:t>
      </w:r>
      <w:r>
        <w:rPr>
          <w:rFonts w:hint="eastAsia" w:cs="Times New Roman"/>
          <w:lang w:val="en-US" w:eastAsia="zh-CN"/>
        </w:rPr>
        <w:t xml:space="preserve"> will obviously experience different </w:t>
      </w:r>
      <w:r>
        <w:t xml:space="preserve">DTX/DRX pattern </w:t>
      </w:r>
      <w:r>
        <w:rPr>
          <w:rFonts w:hint="eastAsia"/>
          <w:lang w:val="en-US" w:eastAsia="zh-CN"/>
        </w:rPr>
        <w:t xml:space="preserve">in beam footprint level. Alternatively, there is still one </w:t>
      </w:r>
      <w:r>
        <w:t xml:space="preserve">periodic cell DTX/DRX pattern </w:t>
      </w:r>
      <w:r>
        <w:rPr>
          <w:rFonts w:hint="eastAsia"/>
          <w:lang w:val="en-US" w:eastAsia="zh-CN"/>
        </w:rPr>
        <w:t>with more domain information, e.g. beam footprint or geographical information.</w:t>
      </w:r>
    </w:p>
    <w:p w14:paraId="6C2FC7F0">
      <w:pPr>
        <w:rPr>
          <w:rFonts w:hint="eastAsia"/>
          <w:lang w:val="en-US" w:eastAsia="zh-CN"/>
        </w:rPr>
      </w:pPr>
    </w:p>
    <w:p w14:paraId="71491A15">
      <w:pPr>
        <w:numPr>
          <w:numId w:val="0"/>
        </w:numPr>
        <w:ind w:leftChars="0"/>
        <w:rPr>
          <w:b/>
        </w:rPr>
      </w:pPr>
      <w:r>
        <w:rPr>
          <w:rFonts w:hint="eastAsia" w:cs="Times New Roman"/>
          <w:b/>
          <w:bCs/>
          <w:lang w:val="en-US" w:eastAsia="zh-CN"/>
        </w:rPr>
        <w:t xml:space="preserve">Proposal 2: for senario2, i.e. </w:t>
      </w:r>
      <w:r>
        <w:rPr>
          <w:rFonts w:hint="eastAsia"/>
          <w:b/>
          <w:lang w:val="en-US" w:eastAsia="zh-CN"/>
        </w:rPr>
        <w:t xml:space="preserve">Single PCI for </w:t>
      </w:r>
      <w:r>
        <w:rPr>
          <w:b/>
        </w:rPr>
        <w:t xml:space="preserve">Multi-beam </w:t>
      </w:r>
      <w:r>
        <w:rPr>
          <w:rFonts w:hint="default"/>
          <w:b/>
          <w:lang w:val="en-US" w:eastAsia="zh-CN"/>
        </w:rPr>
        <w:t>footprints</w:t>
      </w:r>
      <w:r>
        <w:rPr>
          <w:rFonts w:hint="eastAsia"/>
          <w:b/>
          <w:lang w:val="en-US" w:eastAsia="zh-CN"/>
        </w:rPr>
        <w:t xml:space="preserve"> in one satellite </w:t>
      </w:r>
      <w:r>
        <w:rPr>
          <w:b/>
        </w:rPr>
        <w:t>cell</w:t>
      </w:r>
      <w:r>
        <w:rPr>
          <w:rFonts w:hint="eastAsia"/>
          <w:b/>
          <w:lang w:val="en-US" w:eastAsia="zh-CN"/>
        </w:rPr>
        <w:t xml:space="preserve"> (multiple-to-1 mapping)</w:t>
      </w:r>
    </w:p>
    <w:p w14:paraId="5B739FDB">
      <w:pPr>
        <w:spacing w:after="120" w:afterLines="50"/>
        <w:rPr>
          <w:rFonts w:hint="eastAsia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>, the current</w:t>
      </w:r>
      <w:r>
        <w:rPr>
          <w:b/>
          <w:bCs/>
        </w:rPr>
        <w:t xml:space="preserve"> periodic cell DTX/DRX pattern (i.e. active and non-active periods)</w:t>
      </w:r>
      <w:r>
        <w:rPr>
          <w:rFonts w:hint="eastAsia"/>
          <w:b/>
          <w:bCs/>
          <w:lang w:val="en-US" w:eastAsia="zh-CN"/>
        </w:rPr>
        <w:t xml:space="preserve"> in Rel-18 NES for </w:t>
      </w:r>
      <w:r>
        <w:rPr>
          <w:b/>
          <w:bCs/>
        </w:rPr>
        <w:t>reducing gNB downlink transmission/uplink reception active time</w:t>
      </w:r>
      <w:r>
        <w:rPr>
          <w:rFonts w:hint="eastAsia"/>
          <w:b/>
          <w:bCs/>
          <w:lang w:val="en-US" w:eastAsia="zh-CN"/>
        </w:rPr>
        <w:t xml:space="preserve"> seems can be enhanced for the </w:t>
      </w:r>
      <w:r>
        <w:rPr>
          <w:rFonts w:hint="eastAsia" w:cs="Times New Roman"/>
          <w:b/>
          <w:bCs/>
          <w:lang w:val="en-US" w:eastAsia="zh-CN"/>
        </w:rPr>
        <w:t xml:space="preserve">DL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system level enhancement</w:t>
      </w:r>
      <w:r>
        <w:rPr>
          <w:rFonts w:hint="eastAsia" w:cs="Times New Roman"/>
          <w:b/>
          <w:bCs/>
          <w:lang w:val="en-US" w:eastAsia="zh-CN"/>
        </w:rPr>
        <w:t xml:space="preserve"> (i.e., </w:t>
      </w:r>
      <w:r>
        <w:rPr>
          <w:rFonts w:hint="eastAsia"/>
          <w:b/>
          <w:bCs/>
          <w:lang w:val="en-US" w:eastAsia="zh-CN"/>
        </w:rPr>
        <w:t xml:space="preserve">beam hopping </w:t>
      </w:r>
      <w:r>
        <w:rPr>
          <w:rFonts w:hint="eastAsia" w:cs="Times New Roman"/>
          <w:b/>
          <w:bCs/>
          <w:lang w:val="en-US" w:eastAsia="zh-CN"/>
        </w:rPr>
        <w:t xml:space="preserve">) </w:t>
      </w:r>
      <w:r>
        <w:rPr>
          <w:rFonts w:hint="eastAsia"/>
          <w:b/>
          <w:bCs/>
          <w:lang w:val="en-US" w:eastAsia="zh-CN"/>
        </w:rPr>
        <w:t>use case</w:t>
      </w:r>
      <w:r>
        <w:rPr>
          <w:rFonts w:hint="eastAsia" w:cs="Times New Roman"/>
          <w:b/>
          <w:bCs/>
          <w:lang w:val="en-US" w:eastAsia="zh-CN"/>
        </w:rPr>
        <w:t>:</w:t>
      </w:r>
    </w:p>
    <w:p w14:paraId="56D4BBAD">
      <w:pPr>
        <w:numPr>
          <w:ilvl w:val="0"/>
          <w:numId w:val="0"/>
        </w:numPr>
        <w:spacing w:after="120" w:afterLines="50"/>
        <w:ind w:left="0" w:leftChars="0" w:firstLine="400" w:firstLineChars="200"/>
        <w:rPr>
          <w:rFonts w:hint="eastAsia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 w:bidi="ar-SA"/>
        </w:rPr>
        <w:t xml:space="preserve">Alt </w:t>
      </w:r>
      <w:r>
        <w:rPr>
          <w:rFonts w:hint="default" w:ascii="Times New Roman" w:hAnsi="Times New Roman" w:cs="Times New Roman" w:eastAsiaTheme="minorEastAsia"/>
          <w:b/>
          <w:bCs/>
          <w:lang w:val="en-US" w:eastAsia="zh-CN" w:bidi="ar-SA"/>
        </w:rPr>
        <w:t>1．</w:t>
      </w:r>
      <w:r>
        <w:rPr>
          <w:rFonts w:hint="eastAsia" w:cs="Times New Roman"/>
          <w:b/>
          <w:bCs/>
          <w:lang w:val="en-US" w:eastAsia="zh-CN"/>
        </w:rPr>
        <w:t xml:space="preserve">Extend the granularity of  </w:t>
      </w:r>
      <w:r>
        <w:rPr>
          <w:b/>
          <w:bCs/>
        </w:rPr>
        <w:t>periodic cell DTX/DRX pattern</w:t>
      </w:r>
      <w:r>
        <w:rPr>
          <w:rFonts w:hint="eastAsia"/>
          <w:b/>
          <w:bCs/>
          <w:lang w:val="en-US" w:eastAsia="zh-CN"/>
        </w:rPr>
        <w:t xml:space="preserve"> in NES </w:t>
      </w:r>
      <w:r>
        <w:rPr>
          <w:rFonts w:hint="eastAsia" w:cs="Times New Roman"/>
          <w:b/>
          <w:bCs/>
          <w:lang w:val="en-US" w:eastAsia="zh-CN"/>
        </w:rPr>
        <w:t>from cell to beam footprint</w:t>
      </w:r>
    </w:p>
    <w:p w14:paraId="3721067C">
      <w:pPr>
        <w:numPr>
          <w:ilvl w:val="0"/>
          <w:numId w:val="0"/>
        </w:numPr>
        <w:spacing w:after="120" w:afterLines="50"/>
        <w:ind w:left="0" w:leftChars="0" w:firstLine="400" w:firstLineChars="200"/>
        <w:rPr>
          <w:rFonts w:hint="default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 w:bidi="ar-SA"/>
        </w:rPr>
        <w:t xml:space="preserve">Alt </w:t>
      </w:r>
      <w:r>
        <w:rPr>
          <w:rFonts w:hint="default" w:ascii="Times New Roman" w:hAnsi="Times New Roman" w:cs="Times New Roman" w:eastAsiaTheme="minorEastAsia"/>
          <w:b/>
          <w:bCs/>
          <w:lang w:val="en-US" w:eastAsia="zh-CN" w:bidi="ar-SA"/>
        </w:rPr>
        <w:t>2．</w:t>
      </w:r>
      <w:r>
        <w:rPr>
          <w:rFonts w:hint="eastAsia" w:cs="Times New Roman"/>
          <w:b/>
          <w:bCs/>
          <w:lang w:val="en-US" w:eastAsia="zh-CN"/>
        </w:rPr>
        <w:t xml:space="preserve">Reuse </w:t>
      </w:r>
      <w:r>
        <w:rPr>
          <w:rFonts w:hint="eastAsia"/>
          <w:b/>
          <w:bCs/>
          <w:lang w:val="en-US" w:eastAsia="zh-CN"/>
        </w:rPr>
        <w:t xml:space="preserve">current </w:t>
      </w:r>
      <w:r>
        <w:rPr>
          <w:b/>
          <w:bCs/>
        </w:rPr>
        <w:t xml:space="preserve">periodic cell DTX/DRX pattern </w:t>
      </w:r>
      <w:r>
        <w:rPr>
          <w:rFonts w:hint="eastAsia"/>
          <w:b/>
          <w:bCs/>
          <w:lang w:val="en-US" w:eastAsia="zh-CN"/>
        </w:rPr>
        <w:t>with more domain information, e.g. beam footprint or geographical information</w:t>
      </w:r>
    </w:p>
    <w:p w14:paraId="3383C283">
      <w:pPr>
        <w:rPr>
          <w:rFonts w:hint="default"/>
          <w:lang w:val="en-US" w:eastAsia="zh-CN"/>
        </w:rPr>
      </w:pPr>
    </w:p>
    <w:p w14:paraId="01091860">
      <w:pPr>
        <w:pStyle w:val="3"/>
        <w:bidi w:val="0"/>
        <w:rPr>
          <w:rFonts w:hint="default"/>
          <w:lang w:val="en-US" w:eastAsia="zh-CN"/>
        </w:rPr>
      </w:pPr>
      <w:bookmarkStart w:id="14" w:name="_GoBack"/>
      <w:r>
        <w:rPr>
          <w:rFonts w:hint="eastAsia"/>
          <w:lang w:val="en-US" w:eastAsia="zh-CN"/>
        </w:rPr>
        <w:t>2.2  Definition of UE behavior under the non-active period of DTX/DRX pattern</w:t>
      </w:r>
      <w:r>
        <w:rPr>
          <w:rFonts w:hint="eastAsia"/>
          <w:lang w:val="en-US" w:eastAsia="zh-CN"/>
        </w:rPr>
        <w:t xml:space="preserve"> for DL Coverage enhancement</w:t>
      </w:r>
    </w:p>
    <w:bookmarkEnd w:id="14"/>
    <w:p w14:paraId="168F5A3B">
      <w:pPr>
        <w:rPr>
          <w:rFonts w:hint="default"/>
          <w:lang w:val="en-US" w:eastAsia="zh-CN"/>
        </w:rPr>
      </w:pPr>
    </w:p>
    <w:p w14:paraId="2AEEB735">
      <w:pPr>
        <w:spacing w:after="120" w:afterLines="50"/>
        <w:rPr>
          <w:rFonts w:hint="default" w:cs="Times New Roman"/>
          <w:b w:val="0"/>
          <w:bCs w:val="0"/>
          <w:lang w:val="en-US" w:eastAsia="zh-CN"/>
        </w:rPr>
      </w:pPr>
      <w:r>
        <w:rPr>
          <w:rFonts w:hint="eastAsia" w:cs="Times New Roman"/>
          <w:b w:val="0"/>
          <w:bCs w:val="0"/>
          <w:lang w:val="en-US" w:eastAsia="zh-CN"/>
        </w:rPr>
        <w:t>In addition, as for NES, no impact to idle UE, e.g., RACH, paging, SIBs and SSB transmission, it is proposed to define different UE behavior is different in the non-actvie status when reusing the current periodic cell DTX/DRX pattern (i.e. active and non-active periods) in Rel-18 NES.</w:t>
      </w:r>
    </w:p>
    <w:p w14:paraId="66C12FE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hint="default" w:ascii="Arial" w:hAnsi="Arial" w:cs="Arial" w:eastAsiaTheme="minorEastAsia"/>
          <w:b/>
          <w:bCs/>
          <w:sz w:val="20"/>
          <w:szCs w:val="20"/>
          <w:lang w:val="en-US" w:eastAsia="zh-CN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Table 1 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 Comparison of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UE behavior 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between </w:t>
      </w:r>
      <w:r>
        <w:rPr>
          <w:rFonts w:ascii="Arial" w:hAnsi="Arial" w:cs="Arial"/>
          <w:b/>
          <w:bCs/>
          <w:sz w:val="20"/>
          <w:szCs w:val="20"/>
          <w:lang w:val="en-US"/>
        </w:rPr>
        <w:t>DTX/DRX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 and Beam hopping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2412"/>
        <w:gridCol w:w="3224"/>
        <w:gridCol w:w="2504"/>
      </w:tblGrid>
      <w:tr w14:paraId="6085A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9" w:type="dxa"/>
            <w:shd w:val="clear" w:color="auto" w:fill="F1F1F1" w:themeFill="background1" w:themeFillShade="F2"/>
            <w:noWrap w:val="0"/>
            <w:vAlign w:val="top"/>
          </w:tcPr>
          <w:p w14:paraId="7D70DBC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20"/>
                <w:szCs w:val="20"/>
                <w:lang w:val="en-US" w:eastAsia="zh-CN"/>
              </w:rPr>
              <w:t>Status</w:t>
            </w:r>
          </w:p>
        </w:tc>
        <w:tc>
          <w:tcPr>
            <w:tcW w:w="2412" w:type="dxa"/>
            <w:shd w:val="clear" w:color="auto" w:fill="F1F1F1" w:themeFill="background1" w:themeFillShade="F2"/>
            <w:noWrap w:val="0"/>
            <w:vAlign w:val="top"/>
          </w:tcPr>
          <w:p w14:paraId="49216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20"/>
                <w:szCs w:val="20"/>
                <w:lang w:val="en-US" w:eastAsia="zh-CN"/>
              </w:rPr>
              <w:t>R19 beam hopping</w:t>
            </w:r>
          </w:p>
        </w:tc>
        <w:tc>
          <w:tcPr>
            <w:tcW w:w="3224" w:type="dxa"/>
            <w:shd w:val="clear" w:color="auto" w:fill="F1F1F1" w:themeFill="background1" w:themeFillShade="F2"/>
            <w:noWrap w:val="0"/>
            <w:vAlign w:val="top"/>
          </w:tcPr>
          <w:p w14:paraId="589D1CB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20"/>
                <w:szCs w:val="20"/>
                <w:lang w:val="en-US" w:eastAsia="zh-CN"/>
              </w:rPr>
              <w:t>R18 NES</w:t>
            </w:r>
          </w:p>
        </w:tc>
        <w:tc>
          <w:tcPr>
            <w:tcW w:w="2504" w:type="dxa"/>
            <w:shd w:val="clear" w:color="auto" w:fill="F1F1F1" w:themeFill="background1" w:themeFillShade="F2"/>
            <w:noWrap w:val="0"/>
            <w:vAlign w:val="top"/>
          </w:tcPr>
          <w:p w14:paraId="126E212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20"/>
                <w:szCs w:val="20"/>
                <w:lang w:val="en-US" w:eastAsia="zh-CN"/>
              </w:rPr>
              <w:t>NOTE</w:t>
            </w:r>
          </w:p>
        </w:tc>
      </w:tr>
      <w:tr w14:paraId="79C25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9" w:type="dxa"/>
            <w:shd w:val="clear" w:color="auto" w:fill="E2EFDA" w:themeFill="accent6" w:themeFillTint="32"/>
            <w:noWrap w:val="0"/>
            <w:vAlign w:val="top"/>
          </w:tcPr>
          <w:p w14:paraId="15E0E11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20"/>
                <w:szCs w:val="20"/>
                <w:lang w:val="en-US" w:eastAsia="zh-CN"/>
              </w:rPr>
              <w:t>Active status</w:t>
            </w:r>
          </w:p>
        </w:tc>
        <w:tc>
          <w:tcPr>
            <w:tcW w:w="2412" w:type="dxa"/>
            <w:shd w:val="clear" w:color="auto" w:fill="E2EFDA" w:themeFill="accent6" w:themeFillTint="32"/>
            <w:noWrap w:val="0"/>
            <w:vAlign w:val="top"/>
          </w:tcPr>
          <w:p w14:paraId="289E131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Regular UE behaviors</w:t>
            </w:r>
          </w:p>
        </w:tc>
        <w:tc>
          <w:tcPr>
            <w:tcW w:w="3224" w:type="dxa"/>
            <w:shd w:val="clear" w:color="auto" w:fill="E2EFDA" w:themeFill="accent6" w:themeFillTint="32"/>
            <w:noWrap w:val="0"/>
            <w:vAlign w:val="top"/>
          </w:tcPr>
          <w:p w14:paraId="0715D43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Regular UE behaviors</w:t>
            </w:r>
          </w:p>
        </w:tc>
        <w:tc>
          <w:tcPr>
            <w:tcW w:w="2504" w:type="dxa"/>
            <w:shd w:val="clear" w:color="auto" w:fill="E2EFDA" w:themeFill="accent6" w:themeFillTint="32"/>
            <w:noWrap w:val="0"/>
            <w:vAlign w:val="top"/>
          </w:tcPr>
          <w:p w14:paraId="28BB47B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14:paraId="5BE15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9" w:type="dxa"/>
            <w:shd w:val="clear" w:color="auto" w:fill="FEF2CC" w:themeFill="accent4" w:themeFillTint="32"/>
            <w:noWrap w:val="0"/>
            <w:vAlign w:val="top"/>
          </w:tcPr>
          <w:p w14:paraId="0F7974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Cell DTX </w:t>
            </w:r>
            <w:r>
              <w:rPr>
                <w:rFonts w:hint="eastAsia" w:ascii="Arial" w:hAnsi="Arial" w:cs="Arial"/>
                <w:b/>
                <w:bCs/>
                <w:sz w:val="20"/>
                <w:szCs w:val="20"/>
                <w:lang w:val="en-US" w:eastAsia="zh-CN"/>
              </w:rPr>
              <w:t>non-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active </w:t>
            </w:r>
            <w:r>
              <w:rPr>
                <w:rFonts w:hint="eastAsia" w:ascii="Arial" w:hAnsi="Arial" w:cs="Arial"/>
                <w:b/>
                <w:bCs/>
                <w:sz w:val="20"/>
                <w:szCs w:val="20"/>
                <w:lang w:val="en-US" w:eastAsia="zh-CN"/>
              </w:rPr>
              <w:t>status</w:t>
            </w:r>
          </w:p>
        </w:tc>
        <w:tc>
          <w:tcPr>
            <w:tcW w:w="2412" w:type="dxa"/>
            <w:shd w:val="clear" w:color="auto" w:fill="FEF2CC" w:themeFill="accent4" w:themeFillTint="32"/>
            <w:noWrap w:val="0"/>
            <w:vAlign w:val="top"/>
          </w:tcPr>
          <w:p w14:paraId="139A20D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Nothing to be received/transmitted</w:t>
            </w:r>
          </w:p>
        </w:tc>
        <w:tc>
          <w:tcPr>
            <w:tcW w:w="3224" w:type="dxa"/>
            <w:shd w:val="clear" w:color="auto" w:fill="FEF2CC" w:themeFill="accent4" w:themeFillTint="32"/>
            <w:noWrap w:val="0"/>
            <w:vAlign w:val="top"/>
          </w:tcPr>
          <w:p w14:paraId="0F4B851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Not monitor PDCCH in certain cases</w:t>
            </w:r>
          </w:p>
          <w:p w14:paraId="27FF832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Not monitor SPS</w:t>
            </w:r>
          </w:p>
          <w:p w14:paraId="688737B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0"/>
                <w:szCs w:val="20"/>
                <w:highlight w:val="none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none"/>
                <w:lang w:val="en-US"/>
              </w:rPr>
              <w:t xml:space="preserve">o impact to </w:t>
            </w:r>
            <w:r>
              <w:rPr>
                <w:rFonts w:hint="eastAsia" w:ascii="Arial" w:hAnsi="Arial" w:cs="Arial"/>
                <w:b/>
                <w:bCs/>
                <w:sz w:val="20"/>
                <w:szCs w:val="20"/>
                <w:highlight w:val="none"/>
                <w:lang w:val="en-US" w:eastAsia="zh-CN"/>
              </w:rPr>
              <w:t xml:space="preserve">idle UE, e.g., 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highlight w:val="none"/>
                <w:lang w:val="en-US"/>
              </w:rPr>
              <w:t>RACH, paging, SIBs and SSB transmission</w:t>
            </w:r>
          </w:p>
        </w:tc>
        <w:tc>
          <w:tcPr>
            <w:tcW w:w="2504" w:type="dxa"/>
            <w:vMerge w:val="restart"/>
            <w:shd w:val="clear" w:color="auto" w:fill="FEF2CC" w:themeFill="accent4" w:themeFillTint="32"/>
            <w:noWrap w:val="0"/>
            <w:vAlign w:val="top"/>
          </w:tcPr>
          <w:p w14:paraId="46A15F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 xml:space="preserve">As for NES, </w:t>
            </w: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n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val="en-US"/>
              </w:rPr>
              <w:t xml:space="preserve">o impact to </w:t>
            </w: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 xml:space="preserve">idle UE, e.g., </w:t>
            </w:r>
            <w:r>
              <w:rPr>
                <w:rFonts w:ascii="Arial" w:hAnsi="Arial" w:eastAsia="Times New Roman" w:cs="Arial"/>
                <w:sz w:val="20"/>
                <w:szCs w:val="20"/>
                <w:highlight w:val="none"/>
                <w:lang w:val="en-US"/>
              </w:rPr>
              <w:t>RACH, paging, SIBs and SSB transmission</w:t>
            </w:r>
            <w:r>
              <w:rPr>
                <w:rFonts w:hint="eastAsia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 xml:space="preserve">; </w:t>
            </w:r>
            <w:r>
              <w:rPr>
                <w:rFonts w:hint="eastAsia" w:ascii="Arial" w:hAnsi="Arial" w:eastAsia="宋体" w:cs="Arial"/>
                <w:b/>
                <w:bCs/>
                <w:sz w:val="20"/>
                <w:szCs w:val="20"/>
                <w:highlight w:val="none"/>
                <w:lang w:val="en-US" w:eastAsia="zh-CN"/>
              </w:rPr>
              <w:t>the UE behavior is different in the non-actvie status.</w:t>
            </w:r>
          </w:p>
          <w:p w14:paraId="357087E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sz w:val="20"/>
                <w:szCs w:val="20"/>
                <w:lang w:val="en-US"/>
              </w:rPr>
            </w:pPr>
          </w:p>
        </w:tc>
      </w:tr>
      <w:tr w14:paraId="3731D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9" w:type="dxa"/>
            <w:shd w:val="clear" w:color="auto" w:fill="FEF2CC" w:themeFill="accent4" w:themeFillTint="32"/>
            <w:noWrap w:val="0"/>
            <w:vAlign w:val="top"/>
          </w:tcPr>
          <w:p w14:paraId="6B6AE25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Cell DRX non-active </w:t>
            </w:r>
            <w:r>
              <w:rPr>
                <w:rFonts w:hint="eastAsia" w:ascii="Arial" w:hAnsi="Arial" w:cs="Arial"/>
                <w:b/>
                <w:bCs/>
                <w:sz w:val="20"/>
                <w:szCs w:val="20"/>
                <w:lang w:val="en-US" w:eastAsia="zh-CN"/>
              </w:rPr>
              <w:t>status</w:t>
            </w:r>
          </w:p>
        </w:tc>
        <w:tc>
          <w:tcPr>
            <w:tcW w:w="2412" w:type="dxa"/>
            <w:shd w:val="clear" w:color="auto" w:fill="FEF2CC" w:themeFill="accent4" w:themeFillTint="32"/>
            <w:noWrap w:val="0"/>
            <w:vAlign w:val="top"/>
          </w:tcPr>
          <w:p w14:paraId="53C1D2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Nothing to be received/transmitted</w:t>
            </w:r>
          </w:p>
        </w:tc>
        <w:tc>
          <w:tcPr>
            <w:tcW w:w="3224" w:type="dxa"/>
            <w:shd w:val="clear" w:color="auto" w:fill="FEF2CC" w:themeFill="accent4" w:themeFillTint="32"/>
            <w:noWrap w:val="0"/>
            <w:vAlign w:val="top"/>
          </w:tcPr>
          <w:p w14:paraId="414D04D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Not transmit on CG resources</w:t>
            </w:r>
          </w:p>
          <w:p w14:paraId="06E52F6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No SR transmission</w:t>
            </w:r>
          </w:p>
          <w:p w14:paraId="5C393A7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No periodic/semi-persistent CSI reporting</w:t>
            </w:r>
          </w:p>
          <w:p w14:paraId="5C6AFF2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No periodic/semi-persistent SRS</w:t>
            </w:r>
          </w:p>
          <w:p w14:paraId="400DAC2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0"/>
                <w:szCs w:val="20"/>
                <w:highlight w:val="none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none"/>
                <w:lang w:val="en-US"/>
              </w:rPr>
              <w:t xml:space="preserve">o impact to </w:t>
            </w:r>
            <w:r>
              <w:rPr>
                <w:rFonts w:hint="eastAsia" w:ascii="Arial" w:hAnsi="Arial" w:cs="Arial"/>
                <w:b/>
                <w:bCs/>
                <w:sz w:val="20"/>
                <w:szCs w:val="20"/>
                <w:highlight w:val="none"/>
                <w:lang w:val="en-US" w:eastAsia="zh-CN"/>
              </w:rPr>
              <w:t xml:space="preserve">idle UE, e.g., 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highlight w:val="none"/>
                <w:lang w:val="en-US"/>
              </w:rPr>
              <w:t>RACH, paging, SIBs and SSB transmission</w:t>
            </w:r>
          </w:p>
        </w:tc>
        <w:tc>
          <w:tcPr>
            <w:tcW w:w="2504" w:type="dxa"/>
            <w:vMerge w:val="continue"/>
            <w:shd w:val="clear" w:color="auto" w:fill="FEF2CC" w:themeFill="accent4" w:themeFillTint="32"/>
            <w:noWrap w:val="0"/>
            <w:vAlign w:val="top"/>
          </w:tcPr>
          <w:p w14:paraId="0266E2A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2F916E6D">
      <w:pPr>
        <w:numPr>
          <w:ilvl w:val="0"/>
          <w:numId w:val="0"/>
        </w:numPr>
        <w:spacing w:after="120" w:afterLines="50"/>
        <w:rPr>
          <w:rFonts w:hint="eastAsia" w:cs="Times New Roman"/>
          <w:lang w:val="en-US" w:eastAsia="zh-CN"/>
        </w:rPr>
      </w:pPr>
    </w:p>
    <w:p w14:paraId="2BCE86DC">
      <w:pPr>
        <w:spacing w:after="120" w:afterLines="50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>Proposal 3: As for NES, no impact to idle UE, e.g., RACH, paging, SIBs and SSB transmission, it is proposed to define different UE behavior is different in the non-actvie status when reusing the current</w:t>
      </w:r>
      <w:r>
        <w:rPr>
          <w:b/>
          <w:bCs/>
        </w:rPr>
        <w:t xml:space="preserve"> periodic cell DTX/DRX pattern (i.e. active and non-active periods)</w:t>
      </w:r>
      <w:r>
        <w:rPr>
          <w:rFonts w:hint="eastAsia"/>
          <w:b/>
          <w:bCs/>
          <w:lang w:val="en-US" w:eastAsia="zh-CN"/>
        </w:rPr>
        <w:t xml:space="preserve"> in Rel-18 NES.</w:t>
      </w:r>
    </w:p>
    <w:p w14:paraId="67B325C0">
      <w:pPr>
        <w:pStyle w:val="2"/>
        <w:keepNext w:val="0"/>
        <w:widowControl w:val="0"/>
        <w:numPr>
          <w:ilvl w:val="0"/>
          <w:numId w:val="6"/>
        </w:numPr>
        <w:pBdr>
          <w:top w:val="single" w:color="auto" w:sz="12" w:space="3"/>
        </w:pBdr>
        <w:spacing w:before="240" w:after="180"/>
        <w:ind w:left="0" w:right="0" w:firstLine="0"/>
        <w:rPr>
          <w:rFonts w:hint="default" w:ascii="Arial" w:hAnsi="Arial" w:eastAsia="宋体" w:cs="Times New Roman"/>
          <w:b w:val="0"/>
          <w:sz w:val="36"/>
          <w:lang w:val="en-GB" w:eastAsia="zh-CN" w:bidi="ar-SA"/>
        </w:rPr>
      </w:pPr>
      <w:r>
        <w:rPr>
          <w:rFonts w:hint="eastAsia" w:eastAsia="宋体" w:cs="Times New Roman"/>
          <w:b w:val="0"/>
          <w:sz w:val="36"/>
          <w:lang w:val="en-US" w:eastAsia="zh-CN" w:bidi="ar-SA"/>
        </w:rPr>
        <w:t>Summary</w:t>
      </w:r>
    </w:p>
    <w:p w14:paraId="644CC7BF">
      <w:pPr>
        <w:spacing w:after="120" w:afterLines="50"/>
        <w:rPr>
          <w:rFonts w:hint="eastAsia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 xml:space="preserve">Proposal 1: for senario1, i.e. </w:t>
      </w:r>
      <w:r>
        <w:rPr>
          <w:rFonts w:hint="eastAsia"/>
          <w:b/>
          <w:lang w:val="en-US" w:eastAsia="zh-CN"/>
        </w:rPr>
        <w:t>Different PCIs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for</w:t>
      </w:r>
      <w:r>
        <w:rPr>
          <w:b/>
        </w:rPr>
        <w:t xml:space="preserve"> </w:t>
      </w:r>
      <w:r>
        <w:rPr>
          <w:rFonts w:hint="eastAsia"/>
          <w:b/>
          <w:lang w:val="en-US" w:eastAsia="zh-CN"/>
        </w:rPr>
        <w:t>mutiple</w:t>
      </w:r>
      <w:r>
        <w:rPr>
          <w:b/>
        </w:rPr>
        <w:t xml:space="preserve"> bea</w:t>
      </w:r>
      <w:r>
        <w:rPr>
          <w:rFonts w:hint="eastAsia"/>
          <w:b/>
          <w:lang w:val="en-US" w:eastAsia="zh-CN"/>
        </w:rPr>
        <w:t xml:space="preserve">m </w:t>
      </w:r>
      <w:r>
        <w:rPr>
          <w:rFonts w:hint="default"/>
          <w:b/>
          <w:lang w:val="en-US" w:eastAsia="zh-CN"/>
        </w:rPr>
        <w:t>footprints</w:t>
      </w:r>
      <w:r>
        <w:rPr>
          <w:rFonts w:hint="eastAsia"/>
          <w:b/>
          <w:lang w:val="en-US" w:eastAsia="zh-CN"/>
        </w:rPr>
        <w:t xml:space="preserve"> in one satellite </w:t>
      </w:r>
      <w:r>
        <w:rPr>
          <w:b/>
        </w:rPr>
        <w:t>cell</w:t>
      </w:r>
      <w:r>
        <w:rPr>
          <w:rFonts w:hint="eastAsia"/>
          <w:b/>
          <w:lang w:val="en-US" w:eastAsia="zh-CN"/>
        </w:rPr>
        <w:t xml:space="preserve"> (1-to-1 mapping)</w:t>
      </w:r>
      <w:r>
        <w:rPr>
          <w:rFonts w:hint="eastAsia" w:cs="Times New Roman"/>
          <w:b/>
          <w:bCs/>
          <w:lang w:val="en-US" w:eastAsia="zh-CN"/>
        </w:rPr>
        <w:t>, the current</w:t>
      </w:r>
      <w:r>
        <w:rPr>
          <w:b/>
          <w:bCs/>
        </w:rPr>
        <w:t xml:space="preserve"> periodic cell DTX/DRX pattern (i.e. active and non-active periods)</w:t>
      </w:r>
      <w:r>
        <w:rPr>
          <w:rFonts w:hint="eastAsia"/>
          <w:b/>
          <w:bCs/>
          <w:lang w:val="en-US" w:eastAsia="zh-CN"/>
        </w:rPr>
        <w:t xml:space="preserve"> in Rel-18 NES for </w:t>
      </w:r>
      <w:r>
        <w:rPr>
          <w:b/>
          <w:bCs/>
        </w:rPr>
        <w:t>reducing gNB downlink transmission/uplink reception active time</w:t>
      </w:r>
      <w:r>
        <w:rPr>
          <w:rFonts w:hint="eastAsia"/>
          <w:b/>
          <w:bCs/>
          <w:lang w:val="en-US" w:eastAsia="zh-CN"/>
        </w:rPr>
        <w:t xml:space="preserve"> seems can be utilized for the </w:t>
      </w:r>
      <w:r>
        <w:rPr>
          <w:rFonts w:hint="eastAsia" w:cs="Times New Roman"/>
          <w:b/>
          <w:bCs/>
          <w:lang w:val="en-US" w:eastAsia="zh-CN"/>
        </w:rPr>
        <w:t xml:space="preserve">DL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system level enhancement</w:t>
      </w:r>
      <w:r>
        <w:rPr>
          <w:rFonts w:hint="eastAsia" w:cs="Times New Roman"/>
          <w:b/>
          <w:bCs/>
          <w:lang w:val="en-US" w:eastAsia="zh-CN"/>
        </w:rPr>
        <w:t xml:space="preserve"> (i.e., </w:t>
      </w:r>
      <w:r>
        <w:rPr>
          <w:rFonts w:hint="eastAsia"/>
          <w:b/>
          <w:bCs/>
          <w:lang w:val="en-US" w:eastAsia="zh-CN"/>
        </w:rPr>
        <w:t xml:space="preserve">beam hopping </w:t>
      </w:r>
      <w:r>
        <w:rPr>
          <w:rFonts w:hint="eastAsia" w:cs="Times New Roman"/>
          <w:b/>
          <w:bCs/>
          <w:lang w:val="en-US" w:eastAsia="zh-CN"/>
        </w:rPr>
        <w:t xml:space="preserve">) </w:t>
      </w:r>
      <w:r>
        <w:rPr>
          <w:rFonts w:hint="eastAsia"/>
          <w:b/>
          <w:bCs/>
          <w:lang w:val="en-US" w:eastAsia="zh-CN"/>
        </w:rPr>
        <w:t>use case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.</w:t>
      </w:r>
    </w:p>
    <w:p w14:paraId="28E40DC5">
      <w:pPr>
        <w:numPr>
          <w:ilvl w:val="0"/>
          <w:numId w:val="0"/>
        </w:numPr>
        <w:ind w:leftChars="0"/>
        <w:rPr>
          <w:b/>
        </w:rPr>
      </w:pPr>
      <w:r>
        <w:rPr>
          <w:rFonts w:hint="eastAsia" w:cs="Times New Roman"/>
          <w:b/>
          <w:bCs/>
          <w:lang w:val="en-US" w:eastAsia="zh-CN"/>
        </w:rPr>
        <w:t xml:space="preserve">Proposal 2: for senario2, i.e. </w:t>
      </w:r>
      <w:r>
        <w:rPr>
          <w:rFonts w:hint="eastAsia"/>
          <w:b/>
          <w:lang w:val="en-US" w:eastAsia="zh-CN"/>
        </w:rPr>
        <w:t xml:space="preserve">Single PCI for </w:t>
      </w:r>
      <w:r>
        <w:rPr>
          <w:b/>
        </w:rPr>
        <w:t xml:space="preserve">Multi-beam </w:t>
      </w:r>
      <w:r>
        <w:rPr>
          <w:rFonts w:hint="default"/>
          <w:b/>
          <w:lang w:val="en-US" w:eastAsia="zh-CN"/>
        </w:rPr>
        <w:t>footprints</w:t>
      </w:r>
      <w:r>
        <w:rPr>
          <w:rFonts w:hint="eastAsia"/>
          <w:b/>
          <w:lang w:val="en-US" w:eastAsia="zh-CN"/>
        </w:rPr>
        <w:t xml:space="preserve"> in one satellite </w:t>
      </w:r>
      <w:r>
        <w:rPr>
          <w:b/>
        </w:rPr>
        <w:t>cell</w:t>
      </w:r>
      <w:r>
        <w:rPr>
          <w:rFonts w:hint="eastAsia"/>
          <w:b/>
          <w:lang w:val="en-US" w:eastAsia="zh-CN"/>
        </w:rPr>
        <w:t xml:space="preserve"> (multiple-to-1 mapping)</w:t>
      </w:r>
    </w:p>
    <w:p w14:paraId="4BD56B39">
      <w:pPr>
        <w:spacing w:after="120" w:afterLines="50"/>
        <w:rPr>
          <w:rFonts w:hint="eastAsia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>, the current</w:t>
      </w:r>
      <w:r>
        <w:rPr>
          <w:b/>
          <w:bCs/>
        </w:rPr>
        <w:t xml:space="preserve"> periodic cell DTX/DRX pattern (i.e. active and non-active periods)</w:t>
      </w:r>
      <w:r>
        <w:rPr>
          <w:rFonts w:hint="eastAsia"/>
          <w:b/>
          <w:bCs/>
          <w:lang w:val="en-US" w:eastAsia="zh-CN"/>
        </w:rPr>
        <w:t xml:space="preserve"> in Rel-18 NES for </w:t>
      </w:r>
      <w:r>
        <w:rPr>
          <w:b/>
          <w:bCs/>
        </w:rPr>
        <w:t>reducing gNB downlink transmission/uplink reception active time</w:t>
      </w:r>
      <w:r>
        <w:rPr>
          <w:rFonts w:hint="eastAsia"/>
          <w:b/>
          <w:bCs/>
          <w:lang w:val="en-US" w:eastAsia="zh-CN"/>
        </w:rPr>
        <w:t xml:space="preserve"> seems can be enhanced for the </w:t>
      </w:r>
      <w:r>
        <w:rPr>
          <w:rFonts w:hint="eastAsia" w:cs="Times New Roman"/>
          <w:b/>
          <w:bCs/>
          <w:lang w:val="en-US" w:eastAsia="zh-CN"/>
        </w:rPr>
        <w:t xml:space="preserve">DL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system level enhancement</w:t>
      </w:r>
      <w:r>
        <w:rPr>
          <w:rFonts w:hint="eastAsia" w:cs="Times New Roman"/>
          <w:b/>
          <w:bCs/>
          <w:lang w:val="en-US" w:eastAsia="zh-CN"/>
        </w:rPr>
        <w:t xml:space="preserve"> (i.e., </w:t>
      </w:r>
      <w:r>
        <w:rPr>
          <w:rFonts w:hint="eastAsia"/>
          <w:b/>
          <w:bCs/>
          <w:lang w:val="en-US" w:eastAsia="zh-CN"/>
        </w:rPr>
        <w:t xml:space="preserve">beam hopping </w:t>
      </w:r>
      <w:r>
        <w:rPr>
          <w:rFonts w:hint="eastAsia" w:cs="Times New Roman"/>
          <w:b/>
          <w:bCs/>
          <w:lang w:val="en-US" w:eastAsia="zh-CN"/>
        </w:rPr>
        <w:t xml:space="preserve">) </w:t>
      </w:r>
      <w:r>
        <w:rPr>
          <w:rFonts w:hint="eastAsia"/>
          <w:b/>
          <w:bCs/>
          <w:lang w:val="en-US" w:eastAsia="zh-CN"/>
        </w:rPr>
        <w:t>use case</w:t>
      </w:r>
      <w:r>
        <w:rPr>
          <w:rFonts w:hint="eastAsia" w:cs="Times New Roman"/>
          <w:b/>
          <w:bCs/>
          <w:lang w:val="en-US" w:eastAsia="zh-CN"/>
        </w:rPr>
        <w:t>:</w:t>
      </w:r>
    </w:p>
    <w:p w14:paraId="6FAF22BA">
      <w:pPr>
        <w:numPr>
          <w:ilvl w:val="0"/>
          <w:numId w:val="0"/>
        </w:numPr>
        <w:spacing w:after="120" w:afterLines="50"/>
        <w:ind w:left="0" w:leftChars="0" w:firstLine="400" w:firstLineChars="200"/>
        <w:rPr>
          <w:rFonts w:hint="eastAsia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 w:bidi="ar-SA"/>
        </w:rPr>
        <w:t xml:space="preserve">Alt </w:t>
      </w:r>
      <w:r>
        <w:rPr>
          <w:rFonts w:hint="default" w:ascii="Times New Roman" w:hAnsi="Times New Roman" w:cs="Times New Roman" w:eastAsiaTheme="minorEastAsia"/>
          <w:b/>
          <w:bCs/>
          <w:lang w:val="en-US" w:eastAsia="zh-CN" w:bidi="ar-SA"/>
        </w:rPr>
        <w:t>1．</w:t>
      </w:r>
      <w:r>
        <w:rPr>
          <w:rFonts w:hint="eastAsia" w:cs="Times New Roman"/>
          <w:b/>
          <w:bCs/>
          <w:lang w:val="en-US" w:eastAsia="zh-CN"/>
        </w:rPr>
        <w:t xml:space="preserve">Extend the granularity of  </w:t>
      </w:r>
      <w:r>
        <w:rPr>
          <w:b/>
          <w:bCs/>
        </w:rPr>
        <w:t>periodic cell DTX/DRX pattern</w:t>
      </w:r>
      <w:r>
        <w:rPr>
          <w:rFonts w:hint="eastAsia"/>
          <w:b/>
          <w:bCs/>
          <w:lang w:val="en-US" w:eastAsia="zh-CN"/>
        </w:rPr>
        <w:t xml:space="preserve"> in NES </w:t>
      </w:r>
      <w:r>
        <w:rPr>
          <w:rFonts w:hint="eastAsia" w:cs="Times New Roman"/>
          <w:b/>
          <w:bCs/>
          <w:lang w:val="en-US" w:eastAsia="zh-CN"/>
        </w:rPr>
        <w:t>from cell to beam footprint</w:t>
      </w:r>
    </w:p>
    <w:p w14:paraId="0DB5B08D">
      <w:pPr>
        <w:numPr>
          <w:ilvl w:val="0"/>
          <w:numId w:val="0"/>
        </w:numPr>
        <w:spacing w:after="120" w:afterLines="50"/>
        <w:ind w:left="0" w:leftChars="0" w:firstLine="400" w:firstLineChars="200"/>
        <w:rPr>
          <w:rFonts w:hint="default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 w:bidi="ar-SA"/>
        </w:rPr>
        <w:t xml:space="preserve">Alt </w:t>
      </w:r>
      <w:r>
        <w:rPr>
          <w:rFonts w:hint="default" w:ascii="Times New Roman" w:hAnsi="Times New Roman" w:cs="Times New Roman" w:eastAsiaTheme="minorEastAsia"/>
          <w:b/>
          <w:bCs/>
          <w:lang w:val="en-US" w:eastAsia="zh-CN" w:bidi="ar-SA"/>
        </w:rPr>
        <w:t>2．</w:t>
      </w:r>
      <w:r>
        <w:rPr>
          <w:rFonts w:hint="eastAsia" w:cs="Times New Roman"/>
          <w:b/>
          <w:bCs/>
          <w:lang w:val="en-US" w:eastAsia="zh-CN"/>
        </w:rPr>
        <w:t xml:space="preserve">Reuse </w:t>
      </w:r>
      <w:r>
        <w:rPr>
          <w:rFonts w:hint="eastAsia"/>
          <w:b/>
          <w:bCs/>
          <w:lang w:val="en-US" w:eastAsia="zh-CN"/>
        </w:rPr>
        <w:t xml:space="preserve">current </w:t>
      </w:r>
      <w:r>
        <w:rPr>
          <w:b/>
          <w:bCs/>
        </w:rPr>
        <w:t xml:space="preserve">periodic cell DTX/DRX pattern </w:t>
      </w:r>
      <w:r>
        <w:rPr>
          <w:rFonts w:hint="eastAsia"/>
          <w:b/>
          <w:bCs/>
          <w:lang w:val="en-US" w:eastAsia="zh-CN"/>
        </w:rPr>
        <w:t>with more domain information, e.g. beam footprint or geographical information</w:t>
      </w:r>
    </w:p>
    <w:p w14:paraId="1C06C8E8">
      <w:pPr>
        <w:spacing w:after="120" w:afterLines="50"/>
        <w:rPr>
          <w:rFonts w:hint="eastAsia" w:cs="Times New Roman"/>
          <w:b/>
          <w:bCs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>Proposal 3: As for NES, no impact to idle UE, e.g., RACH, paging, SIBs and SSB transmission, it is proposed to define different UE behavior is different in the non-actvie status when reusing the current</w:t>
      </w:r>
      <w:r>
        <w:rPr>
          <w:b/>
          <w:bCs/>
        </w:rPr>
        <w:t xml:space="preserve"> periodic cell DTX/DRX pattern (i.e. active and non-active periods)</w:t>
      </w:r>
      <w:r>
        <w:rPr>
          <w:rFonts w:hint="eastAsia"/>
          <w:b/>
          <w:bCs/>
          <w:lang w:val="en-US" w:eastAsia="zh-CN"/>
        </w:rPr>
        <w:t xml:space="preserve"> in Rel-18 NES.</w:t>
      </w:r>
    </w:p>
    <w:p w14:paraId="5DBE3579">
      <w:pPr>
        <w:pStyle w:val="2"/>
        <w:keepNext w:val="0"/>
        <w:widowControl w:val="0"/>
        <w:numPr>
          <w:ilvl w:val="0"/>
          <w:numId w:val="6"/>
        </w:numPr>
        <w:pBdr>
          <w:top w:val="single" w:color="auto" w:sz="12" w:space="3"/>
        </w:pBdr>
        <w:spacing w:before="240" w:after="180"/>
        <w:ind w:left="0" w:right="0" w:firstLine="0"/>
        <w:rPr>
          <w:rFonts w:hint="default" w:ascii="Arial" w:hAnsi="Arial" w:eastAsia="宋体" w:cs="Times New Roman"/>
          <w:b w:val="0"/>
          <w:sz w:val="36"/>
          <w:lang w:val="en-GB" w:eastAsia="zh-CN" w:bidi="ar-SA"/>
        </w:rPr>
      </w:pPr>
      <w:r>
        <w:rPr>
          <w:rFonts w:hint="default" w:ascii="Arial" w:hAnsi="Arial" w:eastAsia="宋体" w:cs="Times New Roman"/>
          <w:b w:val="0"/>
          <w:sz w:val="36"/>
          <w:lang w:val="en-GB" w:eastAsia="zh-CN" w:bidi="ar-SA"/>
        </w:rPr>
        <w:t>References</w:t>
      </w:r>
      <w:bookmarkStart w:id="0" w:name="_Ref71203205"/>
      <w:bookmarkStart w:id="1" w:name="_Ref505807368"/>
      <w:bookmarkStart w:id="2" w:name="_Ref521313643"/>
      <w:bookmarkStart w:id="3" w:name="_Ref78875676"/>
      <w:bookmarkStart w:id="4" w:name="_Ref53491160"/>
      <w:bookmarkStart w:id="5" w:name="_Ref533782101"/>
      <w:bookmarkStart w:id="6" w:name="_Ref86784880"/>
      <w:bookmarkStart w:id="7" w:name="_Ref60817485"/>
      <w:bookmarkStart w:id="8" w:name="_Ref53511278"/>
      <w:bookmarkStart w:id="9" w:name="_Ref23496549"/>
      <w:bookmarkStart w:id="10" w:name="_Ref83712416"/>
      <w:bookmarkStart w:id="11" w:name="_Ref30757894"/>
      <w:bookmarkStart w:id="12" w:name="_Ref505867252"/>
      <w:bookmarkStart w:id="13" w:name="_Ref521162878"/>
    </w:p>
    <w:p w14:paraId="5CC578DD">
      <w:pPr>
        <w:pStyle w:val="37"/>
        <w:numPr>
          <w:ilvl w:val="0"/>
          <w:numId w:val="11"/>
        </w:numPr>
        <w:spacing w:before="120" w:after="120"/>
        <w:ind w:firstLineChars="0"/>
        <w:jc w:val="both"/>
        <w:rPr>
          <w:rFonts w:cs="Times New Roman"/>
          <w:sz w:val="20"/>
          <w:szCs w:val="20"/>
        </w:rPr>
      </w:pPr>
      <w:r>
        <w:rPr>
          <w:rFonts w:hint="eastAsia" w:cs="Times New Roman"/>
          <w:sz w:val="20"/>
          <w:szCs w:val="20"/>
        </w:rPr>
        <w:t>Chairman's Notes RAN1#1</w:t>
      </w:r>
      <w:r>
        <w:rPr>
          <w:rFonts w:hint="eastAsia" w:cs="Times New Roman"/>
          <w:sz w:val="20"/>
          <w:szCs w:val="20"/>
          <w:lang w:val="en-US" w:eastAsia="zh-CN"/>
        </w:rPr>
        <w:t>16</w:t>
      </w:r>
    </w:p>
    <w:p w14:paraId="6F89AC18">
      <w:pPr>
        <w:pStyle w:val="37"/>
        <w:numPr>
          <w:ilvl w:val="0"/>
          <w:numId w:val="11"/>
        </w:numPr>
        <w:spacing w:before="120" w:after="120"/>
        <w:ind w:firstLineChars="0"/>
        <w:jc w:val="both"/>
        <w:rPr>
          <w:rFonts w:cs="Times New Roman"/>
          <w:sz w:val="20"/>
          <w:szCs w:val="20"/>
        </w:rPr>
      </w:pPr>
      <w:r>
        <w:rPr>
          <w:rFonts w:hint="eastAsia" w:cs="Times New Roman"/>
          <w:sz w:val="20"/>
          <w:szCs w:val="20"/>
        </w:rPr>
        <w:t>R2-2407919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sz w:val="20"/>
          <w:szCs w:val="20"/>
        </w:rPr>
        <w:t>Reply LS on DL coverage enhancements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22ADD28">
      <w:pPr>
        <w:spacing w:after="120" w:afterLines="50"/>
        <w:rPr>
          <w:rFonts w:hint="default" w:cs="Times New Roman"/>
          <w:b/>
          <w:bCs/>
          <w:lang w:val="en-US" w:eastAsia="zh-CN"/>
        </w:rPr>
      </w:pPr>
    </w:p>
    <w:p w14:paraId="127CBBBD">
      <w:pPr>
        <w:spacing w:after="120" w:afterLines="50"/>
        <w:ind w:left="1134" w:hanging="1135" w:hangingChars="567"/>
        <w:rPr>
          <w:rFonts w:hint="default" w:ascii="Times New Roman" w:hAnsi="Times New Roman" w:cs="Times New Roman"/>
          <w:b/>
          <w:bCs/>
          <w:lang w:val="en-US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E6F272"/>
    <w:multiLevelType w:val="singleLevel"/>
    <w:tmpl w:val="91E6F272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34F2F98"/>
    <w:multiLevelType w:val="singleLevel"/>
    <w:tmpl w:val="034F2F98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1F250011"/>
    <w:multiLevelType w:val="multilevel"/>
    <w:tmpl w:val="1F250011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 w:ascii="Times New Roman" w:hAnsi="Times New Roman" w:eastAsia="Times New Roman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3EC52FA"/>
    <w:multiLevelType w:val="multilevel"/>
    <w:tmpl w:val="23EC52FA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  <w:sz w:val="28"/>
        <w:szCs w:val="32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>
    <w:nsid w:val="3958279B"/>
    <w:multiLevelType w:val="multilevel"/>
    <w:tmpl w:val="3958279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7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>
    <w:nsid w:val="59ADCABA"/>
    <w:multiLevelType w:val="multilevel"/>
    <w:tmpl w:val="59ADCABA"/>
    <w:lvl w:ilvl="0" w:tentative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9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3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2"/>
  </w:num>
  <w:num w:numId="5">
    <w:abstractNumId w:val="10"/>
  </w:num>
  <w:num w:numId="6">
    <w:abstractNumId w:val="4"/>
  </w:num>
  <w:num w:numId="7">
    <w:abstractNumId w:val="8"/>
  </w:num>
  <w:num w:numId="8">
    <w:abstractNumId w:val="1"/>
  </w:num>
  <w:num w:numId="9">
    <w:abstractNumId w:val="0"/>
  </w:num>
  <w:num w:numId="10">
    <w:abstractNumId w:val="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1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2OTA3ODI2ZTZhNjY1YzVjYzhkNTg0MDk5NGZlMGMifQ=="/>
  </w:docVars>
  <w:rsids>
    <w:rsidRoot w:val="00A361F7"/>
    <w:rsid w:val="00000638"/>
    <w:rsid w:val="00000FE3"/>
    <w:rsid w:val="00001496"/>
    <w:rsid w:val="000015FC"/>
    <w:rsid w:val="00005435"/>
    <w:rsid w:val="000118D3"/>
    <w:rsid w:val="00020AC8"/>
    <w:rsid w:val="000227A5"/>
    <w:rsid w:val="00022A0D"/>
    <w:rsid w:val="00023C92"/>
    <w:rsid w:val="00024D4F"/>
    <w:rsid w:val="000256D2"/>
    <w:rsid w:val="00025ABA"/>
    <w:rsid w:val="00025C06"/>
    <w:rsid w:val="00033276"/>
    <w:rsid w:val="0003540D"/>
    <w:rsid w:val="000446FC"/>
    <w:rsid w:val="00046B91"/>
    <w:rsid w:val="000474C9"/>
    <w:rsid w:val="00050195"/>
    <w:rsid w:val="00054789"/>
    <w:rsid w:val="00054839"/>
    <w:rsid w:val="000659F8"/>
    <w:rsid w:val="00065DF8"/>
    <w:rsid w:val="00066C2F"/>
    <w:rsid w:val="000677C1"/>
    <w:rsid w:val="000847D6"/>
    <w:rsid w:val="0008674A"/>
    <w:rsid w:val="00091329"/>
    <w:rsid w:val="00093827"/>
    <w:rsid w:val="00094695"/>
    <w:rsid w:val="00096C6F"/>
    <w:rsid w:val="000A12B0"/>
    <w:rsid w:val="000A14C2"/>
    <w:rsid w:val="000A2997"/>
    <w:rsid w:val="000A339B"/>
    <w:rsid w:val="000A3703"/>
    <w:rsid w:val="000A6489"/>
    <w:rsid w:val="000B2824"/>
    <w:rsid w:val="000B3B9D"/>
    <w:rsid w:val="000B43AF"/>
    <w:rsid w:val="000B61F4"/>
    <w:rsid w:val="000C1ABF"/>
    <w:rsid w:val="000C1AD9"/>
    <w:rsid w:val="000C6ECF"/>
    <w:rsid w:val="000C71E8"/>
    <w:rsid w:val="000D38A4"/>
    <w:rsid w:val="000D3E32"/>
    <w:rsid w:val="000D5F74"/>
    <w:rsid w:val="000D60F4"/>
    <w:rsid w:val="000E031E"/>
    <w:rsid w:val="000E1453"/>
    <w:rsid w:val="000E6B05"/>
    <w:rsid w:val="000F0887"/>
    <w:rsid w:val="000F1A79"/>
    <w:rsid w:val="000F5ABA"/>
    <w:rsid w:val="00101785"/>
    <w:rsid w:val="0010755E"/>
    <w:rsid w:val="00110752"/>
    <w:rsid w:val="001114F0"/>
    <w:rsid w:val="00113478"/>
    <w:rsid w:val="00115DFF"/>
    <w:rsid w:val="00115E58"/>
    <w:rsid w:val="00116E38"/>
    <w:rsid w:val="0012016C"/>
    <w:rsid w:val="0012062F"/>
    <w:rsid w:val="001275D7"/>
    <w:rsid w:val="00132FD5"/>
    <w:rsid w:val="00135866"/>
    <w:rsid w:val="00137251"/>
    <w:rsid w:val="001507A9"/>
    <w:rsid w:val="00152576"/>
    <w:rsid w:val="00157677"/>
    <w:rsid w:val="001626EF"/>
    <w:rsid w:val="001630C3"/>
    <w:rsid w:val="0016463B"/>
    <w:rsid w:val="001663DF"/>
    <w:rsid w:val="00171F8B"/>
    <w:rsid w:val="00173EC7"/>
    <w:rsid w:val="00174076"/>
    <w:rsid w:val="001753D9"/>
    <w:rsid w:val="00175BD3"/>
    <w:rsid w:val="00180267"/>
    <w:rsid w:val="00181133"/>
    <w:rsid w:val="00181310"/>
    <w:rsid w:val="00181467"/>
    <w:rsid w:val="00182F60"/>
    <w:rsid w:val="00183DF4"/>
    <w:rsid w:val="00185857"/>
    <w:rsid w:val="00185A8A"/>
    <w:rsid w:val="0019433E"/>
    <w:rsid w:val="0019589A"/>
    <w:rsid w:val="001962E4"/>
    <w:rsid w:val="00197343"/>
    <w:rsid w:val="001A0712"/>
    <w:rsid w:val="001A48C7"/>
    <w:rsid w:val="001A5EF1"/>
    <w:rsid w:val="001A6399"/>
    <w:rsid w:val="001A7684"/>
    <w:rsid w:val="001B09E1"/>
    <w:rsid w:val="001B11F6"/>
    <w:rsid w:val="001B521D"/>
    <w:rsid w:val="001B69EA"/>
    <w:rsid w:val="001B6D3D"/>
    <w:rsid w:val="001C1A4C"/>
    <w:rsid w:val="001C3195"/>
    <w:rsid w:val="001C31FE"/>
    <w:rsid w:val="001C39A3"/>
    <w:rsid w:val="001C46B7"/>
    <w:rsid w:val="001C5E0F"/>
    <w:rsid w:val="001C62F8"/>
    <w:rsid w:val="001C65C6"/>
    <w:rsid w:val="001D7ADD"/>
    <w:rsid w:val="001E082D"/>
    <w:rsid w:val="001E1175"/>
    <w:rsid w:val="001E14F4"/>
    <w:rsid w:val="001E371C"/>
    <w:rsid w:val="001E6FF5"/>
    <w:rsid w:val="001E784D"/>
    <w:rsid w:val="001E7B49"/>
    <w:rsid w:val="001F3017"/>
    <w:rsid w:val="001F50D8"/>
    <w:rsid w:val="001F5CFC"/>
    <w:rsid w:val="002019DB"/>
    <w:rsid w:val="002049C6"/>
    <w:rsid w:val="00204E21"/>
    <w:rsid w:val="00205DF4"/>
    <w:rsid w:val="00206459"/>
    <w:rsid w:val="00206A60"/>
    <w:rsid w:val="00210078"/>
    <w:rsid w:val="002123B4"/>
    <w:rsid w:val="0021299C"/>
    <w:rsid w:val="00217123"/>
    <w:rsid w:val="00220E25"/>
    <w:rsid w:val="00222B91"/>
    <w:rsid w:val="0022414B"/>
    <w:rsid w:val="00224873"/>
    <w:rsid w:val="0022670A"/>
    <w:rsid w:val="002306E4"/>
    <w:rsid w:val="00233D22"/>
    <w:rsid w:val="002340D9"/>
    <w:rsid w:val="00235476"/>
    <w:rsid w:val="00236E4A"/>
    <w:rsid w:val="00242898"/>
    <w:rsid w:val="002478C2"/>
    <w:rsid w:val="00250523"/>
    <w:rsid w:val="00252DC0"/>
    <w:rsid w:val="0026070B"/>
    <w:rsid w:val="0026079F"/>
    <w:rsid w:val="00261DDE"/>
    <w:rsid w:val="0026256A"/>
    <w:rsid w:val="00263E44"/>
    <w:rsid w:val="002641B3"/>
    <w:rsid w:val="0026717A"/>
    <w:rsid w:val="00271263"/>
    <w:rsid w:val="002715D0"/>
    <w:rsid w:val="0027592E"/>
    <w:rsid w:val="00275E9A"/>
    <w:rsid w:val="00280076"/>
    <w:rsid w:val="00280218"/>
    <w:rsid w:val="00283FEC"/>
    <w:rsid w:val="00291796"/>
    <w:rsid w:val="00293A46"/>
    <w:rsid w:val="002A2DC9"/>
    <w:rsid w:val="002A3DA5"/>
    <w:rsid w:val="002A630F"/>
    <w:rsid w:val="002B035A"/>
    <w:rsid w:val="002B2489"/>
    <w:rsid w:val="002B5703"/>
    <w:rsid w:val="002B6DA8"/>
    <w:rsid w:val="002B7B77"/>
    <w:rsid w:val="002B7FDA"/>
    <w:rsid w:val="002C1E94"/>
    <w:rsid w:val="002C26E4"/>
    <w:rsid w:val="002C2A59"/>
    <w:rsid w:val="002C2AA5"/>
    <w:rsid w:val="002C5E14"/>
    <w:rsid w:val="002D0379"/>
    <w:rsid w:val="002D1E9D"/>
    <w:rsid w:val="002D3701"/>
    <w:rsid w:val="002D4BC9"/>
    <w:rsid w:val="002D79A6"/>
    <w:rsid w:val="002E1DFC"/>
    <w:rsid w:val="002E1EB7"/>
    <w:rsid w:val="002E45F2"/>
    <w:rsid w:val="002E57C6"/>
    <w:rsid w:val="002E648A"/>
    <w:rsid w:val="002E6EBE"/>
    <w:rsid w:val="002F17E0"/>
    <w:rsid w:val="002F1996"/>
    <w:rsid w:val="002F3106"/>
    <w:rsid w:val="002F7DDC"/>
    <w:rsid w:val="00301B78"/>
    <w:rsid w:val="00302BF3"/>
    <w:rsid w:val="00310F7C"/>
    <w:rsid w:val="00320318"/>
    <w:rsid w:val="003225B4"/>
    <w:rsid w:val="00322F3E"/>
    <w:rsid w:val="00323064"/>
    <w:rsid w:val="003249CB"/>
    <w:rsid w:val="00334189"/>
    <w:rsid w:val="00337ABE"/>
    <w:rsid w:val="00343415"/>
    <w:rsid w:val="00345EEB"/>
    <w:rsid w:val="00351587"/>
    <w:rsid w:val="0035210E"/>
    <w:rsid w:val="00353FBB"/>
    <w:rsid w:val="0035434B"/>
    <w:rsid w:val="003573C5"/>
    <w:rsid w:val="00361DE9"/>
    <w:rsid w:val="00365BD3"/>
    <w:rsid w:val="00372513"/>
    <w:rsid w:val="00375B39"/>
    <w:rsid w:val="00376EE8"/>
    <w:rsid w:val="00377646"/>
    <w:rsid w:val="00377F76"/>
    <w:rsid w:val="0038037F"/>
    <w:rsid w:val="00380F6E"/>
    <w:rsid w:val="00383B65"/>
    <w:rsid w:val="00384FD2"/>
    <w:rsid w:val="00385E95"/>
    <w:rsid w:val="00386C08"/>
    <w:rsid w:val="003877CE"/>
    <w:rsid w:val="00390718"/>
    <w:rsid w:val="00394C01"/>
    <w:rsid w:val="00397C2F"/>
    <w:rsid w:val="003A114E"/>
    <w:rsid w:val="003A6C54"/>
    <w:rsid w:val="003B08EF"/>
    <w:rsid w:val="003B557E"/>
    <w:rsid w:val="003B691F"/>
    <w:rsid w:val="003C1A51"/>
    <w:rsid w:val="003C52D5"/>
    <w:rsid w:val="003C5AFB"/>
    <w:rsid w:val="003D1761"/>
    <w:rsid w:val="003D1992"/>
    <w:rsid w:val="003D640C"/>
    <w:rsid w:val="003E1300"/>
    <w:rsid w:val="003E3022"/>
    <w:rsid w:val="003E38FF"/>
    <w:rsid w:val="003E415D"/>
    <w:rsid w:val="003E617F"/>
    <w:rsid w:val="003F05DC"/>
    <w:rsid w:val="003F21F9"/>
    <w:rsid w:val="003F3CAA"/>
    <w:rsid w:val="003F511C"/>
    <w:rsid w:val="003F6C6F"/>
    <w:rsid w:val="00400A79"/>
    <w:rsid w:val="00400ADB"/>
    <w:rsid w:val="0040134E"/>
    <w:rsid w:val="00407647"/>
    <w:rsid w:val="00415A79"/>
    <w:rsid w:val="00415CAB"/>
    <w:rsid w:val="00421B13"/>
    <w:rsid w:val="00424010"/>
    <w:rsid w:val="00424F26"/>
    <w:rsid w:val="004278EB"/>
    <w:rsid w:val="004325D3"/>
    <w:rsid w:val="00440612"/>
    <w:rsid w:val="00445160"/>
    <w:rsid w:val="00450DBF"/>
    <w:rsid w:val="004523B3"/>
    <w:rsid w:val="00453B32"/>
    <w:rsid w:val="00454DC1"/>
    <w:rsid w:val="004607C3"/>
    <w:rsid w:val="004622F3"/>
    <w:rsid w:val="00463441"/>
    <w:rsid w:val="004640A2"/>
    <w:rsid w:val="004647AC"/>
    <w:rsid w:val="0046582D"/>
    <w:rsid w:val="0046717C"/>
    <w:rsid w:val="004701AE"/>
    <w:rsid w:val="00470A29"/>
    <w:rsid w:val="0047182D"/>
    <w:rsid w:val="00475ABF"/>
    <w:rsid w:val="004825FB"/>
    <w:rsid w:val="00483A44"/>
    <w:rsid w:val="00485FBE"/>
    <w:rsid w:val="004861FC"/>
    <w:rsid w:val="004876B7"/>
    <w:rsid w:val="00491C1A"/>
    <w:rsid w:val="0049399A"/>
    <w:rsid w:val="004973B5"/>
    <w:rsid w:val="004A06CC"/>
    <w:rsid w:val="004A174B"/>
    <w:rsid w:val="004A1AB6"/>
    <w:rsid w:val="004A21C9"/>
    <w:rsid w:val="004A32E0"/>
    <w:rsid w:val="004A3B80"/>
    <w:rsid w:val="004A4B16"/>
    <w:rsid w:val="004B281B"/>
    <w:rsid w:val="004B2916"/>
    <w:rsid w:val="004B3D7E"/>
    <w:rsid w:val="004B4D85"/>
    <w:rsid w:val="004B6564"/>
    <w:rsid w:val="004B68BC"/>
    <w:rsid w:val="004B6DE3"/>
    <w:rsid w:val="004B7178"/>
    <w:rsid w:val="004B79D0"/>
    <w:rsid w:val="004C2BAA"/>
    <w:rsid w:val="004C2DE0"/>
    <w:rsid w:val="004C3DAE"/>
    <w:rsid w:val="004C50A7"/>
    <w:rsid w:val="004C7A61"/>
    <w:rsid w:val="004D2646"/>
    <w:rsid w:val="004E6138"/>
    <w:rsid w:val="004E64AA"/>
    <w:rsid w:val="004E7083"/>
    <w:rsid w:val="004F0D2C"/>
    <w:rsid w:val="004F35C7"/>
    <w:rsid w:val="004F588A"/>
    <w:rsid w:val="00512959"/>
    <w:rsid w:val="0051681C"/>
    <w:rsid w:val="00517D4C"/>
    <w:rsid w:val="00520A65"/>
    <w:rsid w:val="005225D3"/>
    <w:rsid w:val="00522967"/>
    <w:rsid w:val="00525A0D"/>
    <w:rsid w:val="00530E0E"/>
    <w:rsid w:val="00531DA3"/>
    <w:rsid w:val="00532749"/>
    <w:rsid w:val="0053564F"/>
    <w:rsid w:val="00535D00"/>
    <w:rsid w:val="00540DB5"/>
    <w:rsid w:val="005411B2"/>
    <w:rsid w:val="00541944"/>
    <w:rsid w:val="00542A24"/>
    <w:rsid w:val="00544747"/>
    <w:rsid w:val="00546A4D"/>
    <w:rsid w:val="00550F4F"/>
    <w:rsid w:val="00552A0D"/>
    <w:rsid w:val="0055579F"/>
    <w:rsid w:val="00557199"/>
    <w:rsid w:val="00557522"/>
    <w:rsid w:val="00563941"/>
    <w:rsid w:val="00563BE0"/>
    <w:rsid w:val="00565204"/>
    <w:rsid w:val="00566392"/>
    <w:rsid w:val="005669D7"/>
    <w:rsid w:val="00570ACA"/>
    <w:rsid w:val="00570D89"/>
    <w:rsid w:val="005761EB"/>
    <w:rsid w:val="00576A9A"/>
    <w:rsid w:val="00577BA4"/>
    <w:rsid w:val="00577F01"/>
    <w:rsid w:val="005829BD"/>
    <w:rsid w:val="005857C4"/>
    <w:rsid w:val="00585AFC"/>
    <w:rsid w:val="0059398F"/>
    <w:rsid w:val="00594A21"/>
    <w:rsid w:val="005A1815"/>
    <w:rsid w:val="005A2273"/>
    <w:rsid w:val="005A4D32"/>
    <w:rsid w:val="005A5B1D"/>
    <w:rsid w:val="005A79EE"/>
    <w:rsid w:val="005B1CD5"/>
    <w:rsid w:val="005B400B"/>
    <w:rsid w:val="005B44BE"/>
    <w:rsid w:val="005B4D30"/>
    <w:rsid w:val="005B72EA"/>
    <w:rsid w:val="005C123B"/>
    <w:rsid w:val="005C39C0"/>
    <w:rsid w:val="005C3ACB"/>
    <w:rsid w:val="005C64E0"/>
    <w:rsid w:val="005D20F1"/>
    <w:rsid w:val="005D3ECE"/>
    <w:rsid w:val="005D5003"/>
    <w:rsid w:val="005D5E30"/>
    <w:rsid w:val="005E01A6"/>
    <w:rsid w:val="005E0F5D"/>
    <w:rsid w:val="005E4D90"/>
    <w:rsid w:val="005E75B0"/>
    <w:rsid w:val="005F21D1"/>
    <w:rsid w:val="005F2A6C"/>
    <w:rsid w:val="005F2FF8"/>
    <w:rsid w:val="005F4277"/>
    <w:rsid w:val="005F696A"/>
    <w:rsid w:val="00606104"/>
    <w:rsid w:val="00612776"/>
    <w:rsid w:val="00615FF3"/>
    <w:rsid w:val="00622340"/>
    <w:rsid w:val="00623074"/>
    <w:rsid w:val="00625CD9"/>
    <w:rsid w:val="00627076"/>
    <w:rsid w:val="0063129F"/>
    <w:rsid w:val="0063796F"/>
    <w:rsid w:val="00637D24"/>
    <w:rsid w:val="00641D66"/>
    <w:rsid w:val="006443A5"/>
    <w:rsid w:val="00644E92"/>
    <w:rsid w:val="00646C0E"/>
    <w:rsid w:val="00650003"/>
    <w:rsid w:val="00655E25"/>
    <w:rsid w:val="00661F56"/>
    <w:rsid w:val="006626AF"/>
    <w:rsid w:val="00663354"/>
    <w:rsid w:val="00663991"/>
    <w:rsid w:val="00665A2D"/>
    <w:rsid w:val="00667CB5"/>
    <w:rsid w:val="00671059"/>
    <w:rsid w:val="0067378C"/>
    <w:rsid w:val="00673949"/>
    <w:rsid w:val="006802E9"/>
    <w:rsid w:val="006804DD"/>
    <w:rsid w:val="00680E24"/>
    <w:rsid w:val="00681085"/>
    <w:rsid w:val="0068260E"/>
    <w:rsid w:val="00683CB8"/>
    <w:rsid w:val="006842AE"/>
    <w:rsid w:val="006A06B1"/>
    <w:rsid w:val="006A116C"/>
    <w:rsid w:val="006A608C"/>
    <w:rsid w:val="006B2266"/>
    <w:rsid w:val="006B5D03"/>
    <w:rsid w:val="006C53EB"/>
    <w:rsid w:val="006C5C58"/>
    <w:rsid w:val="006C68F0"/>
    <w:rsid w:val="006D268D"/>
    <w:rsid w:val="006D3E4E"/>
    <w:rsid w:val="006D49C4"/>
    <w:rsid w:val="006D4C15"/>
    <w:rsid w:val="006E68C9"/>
    <w:rsid w:val="006F31E9"/>
    <w:rsid w:val="006F520B"/>
    <w:rsid w:val="00700B62"/>
    <w:rsid w:val="0071212E"/>
    <w:rsid w:val="007158C7"/>
    <w:rsid w:val="007244F6"/>
    <w:rsid w:val="007258C4"/>
    <w:rsid w:val="00732BA6"/>
    <w:rsid w:val="007337EB"/>
    <w:rsid w:val="00734033"/>
    <w:rsid w:val="00736A8D"/>
    <w:rsid w:val="00736D32"/>
    <w:rsid w:val="0074003C"/>
    <w:rsid w:val="007417DD"/>
    <w:rsid w:val="007447B2"/>
    <w:rsid w:val="0074692E"/>
    <w:rsid w:val="00746EE1"/>
    <w:rsid w:val="00747D6B"/>
    <w:rsid w:val="00752B92"/>
    <w:rsid w:val="00753DE5"/>
    <w:rsid w:val="00755704"/>
    <w:rsid w:val="007560E2"/>
    <w:rsid w:val="00756506"/>
    <w:rsid w:val="0076196C"/>
    <w:rsid w:val="00761D42"/>
    <w:rsid w:val="00763C5A"/>
    <w:rsid w:val="007675F7"/>
    <w:rsid w:val="007713D1"/>
    <w:rsid w:val="0077177A"/>
    <w:rsid w:val="00781E24"/>
    <w:rsid w:val="0078302F"/>
    <w:rsid w:val="007851ED"/>
    <w:rsid w:val="007905BE"/>
    <w:rsid w:val="007918CD"/>
    <w:rsid w:val="00793436"/>
    <w:rsid w:val="00793796"/>
    <w:rsid w:val="007964A4"/>
    <w:rsid w:val="007A1861"/>
    <w:rsid w:val="007A1CB5"/>
    <w:rsid w:val="007A39DD"/>
    <w:rsid w:val="007A3BF3"/>
    <w:rsid w:val="007A4504"/>
    <w:rsid w:val="007A575C"/>
    <w:rsid w:val="007A682E"/>
    <w:rsid w:val="007A69C3"/>
    <w:rsid w:val="007A71FD"/>
    <w:rsid w:val="007B1279"/>
    <w:rsid w:val="007B21FC"/>
    <w:rsid w:val="007B43BD"/>
    <w:rsid w:val="007B4824"/>
    <w:rsid w:val="007B63F5"/>
    <w:rsid w:val="007C162A"/>
    <w:rsid w:val="007C26A3"/>
    <w:rsid w:val="007C2C33"/>
    <w:rsid w:val="007C335E"/>
    <w:rsid w:val="007C36A9"/>
    <w:rsid w:val="007C531E"/>
    <w:rsid w:val="007C674D"/>
    <w:rsid w:val="007D17FD"/>
    <w:rsid w:val="007D474C"/>
    <w:rsid w:val="007D5BF0"/>
    <w:rsid w:val="007D625B"/>
    <w:rsid w:val="007D6BB9"/>
    <w:rsid w:val="007E52CD"/>
    <w:rsid w:val="007E6572"/>
    <w:rsid w:val="007F05C9"/>
    <w:rsid w:val="007F204C"/>
    <w:rsid w:val="007F245E"/>
    <w:rsid w:val="007F4597"/>
    <w:rsid w:val="007F7D15"/>
    <w:rsid w:val="00801852"/>
    <w:rsid w:val="00801DBD"/>
    <w:rsid w:val="0080787E"/>
    <w:rsid w:val="00814903"/>
    <w:rsid w:val="008170B2"/>
    <w:rsid w:val="00822615"/>
    <w:rsid w:val="0082329F"/>
    <w:rsid w:val="00830019"/>
    <w:rsid w:val="00835017"/>
    <w:rsid w:val="008419A8"/>
    <w:rsid w:val="00842F3C"/>
    <w:rsid w:val="0084395C"/>
    <w:rsid w:val="00846304"/>
    <w:rsid w:val="008465B2"/>
    <w:rsid w:val="00854277"/>
    <w:rsid w:val="00855213"/>
    <w:rsid w:val="00862798"/>
    <w:rsid w:val="008636FA"/>
    <w:rsid w:val="00864807"/>
    <w:rsid w:val="00871AF0"/>
    <w:rsid w:val="00874E3B"/>
    <w:rsid w:val="00875B80"/>
    <w:rsid w:val="00876E78"/>
    <w:rsid w:val="008804B4"/>
    <w:rsid w:val="008841B1"/>
    <w:rsid w:val="00884823"/>
    <w:rsid w:val="008852B1"/>
    <w:rsid w:val="0088567C"/>
    <w:rsid w:val="008930B3"/>
    <w:rsid w:val="00894AA6"/>
    <w:rsid w:val="008A04EE"/>
    <w:rsid w:val="008A42F6"/>
    <w:rsid w:val="008A43F1"/>
    <w:rsid w:val="008A612D"/>
    <w:rsid w:val="008D0C4C"/>
    <w:rsid w:val="008D21AD"/>
    <w:rsid w:val="008D2568"/>
    <w:rsid w:val="008D4715"/>
    <w:rsid w:val="008D760E"/>
    <w:rsid w:val="008E1CC3"/>
    <w:rsid w:val="008E1D11"/>
    <w:rsid w:val="008E3F78"/>
    <w:rsid w:val="008E4297"/>
    <w:rsid w:val="008E611F"/>
    <w:rsid w:val="008E7932"/>
    <w:rsid w:val="008F12E3"/>
    <w:rsid w:val="00900FC3"/>
    <w:rsid w:val="00901D3A"/>
    <w:rsid w:val="00905326"/>
    <w:rsid w:val="00905F54"/>
    <w:rsid w:val="00906EEB"/>
    <w:rsid w:val="00910C1D"/>
    <w:rsid w:val="00911B96"/>
    <w:rsid w:val="00911BC8"/>
    <w:rsid w:val="00913009"/>
    <w:rsid w:val="0091307E"/>
    <w:rsid w:val="00913200"/>
    <w:rsid w:val="00914710"/>
    <w:rsid w:val="00915F5E"/>
    <w:rsid w:val="00917D1C"/>
    <w:rsid w:val="00921935"/>
    <w:rsid w:val="00923498"/>
    <w:rsid w:val="009245C4"/>
    <w:rsid w:val="0093343E"/>
    <w:rsid w:val="0093458D"/>
    <w:rsid w:val="00934C3F"/>
    <w:rsid w:val="00936ED5"/>
    <w:rsid w:val="00937F9D"/>
    <w:rsid w:val="00941EE6"/>
    <w:rsid w:val="009439B0"/>
    <w:rsid w:val="00951660"/>
    <w:rsid w:val="009544BF"/>
    <w:rsid w:val="0095752D"/>
    <w:rsid w:val="00960496"/>
    <w:rsid w:val="0096382A"/>
    <w:rsid w:val="00971ECE"/>
    <w:rsid w:val="00977322"/>
    <w:rsid w:val="00983F1F"/>
    <w:rsid w:val="00991A57"/>
    <w:rsid w:val="00992C9B"/>
    <w:rsid w:val="009949B5"/>
    <w:rsid w:val="00995D40"/>
    <w:rsid w:val="009971BD"/>
    <w:rsid w:val="009A1D95"/>
    <w:rsid w:val="009B2240"/>
    <w:rsid w:val="009B4756"/>
    <w:rsid w:val="009B5E4A"/>
    <w:rsid w:val="009B6B01"/>
    <w:rsid w:val="009B7298"/>
    <w:rsid w:val="009C0973"/>
    <w:rsid w:val="009C2CCE"/>
    <w:rsid w:val="009C4216"/>
    <w:rsid w:val="009C53C3"/>
    <w:rsid w:val="009D099F"/>
    <w:rsid w:val="009D2060"/>
    <w:rsid w:val="009D4091"/>
    <w:rsid w:val="009D5666"/>
    <w:rsid w:val="009D7263"/>
    <w:rsid w:val="009D754D"/>
    <w:rsid w:val="009E085A"/>
    <w:rsid w:val="009E08AB"/>
    <w:rsid w:val="009E10B2"/>
    <w:rsid w:val="009E22FB"/>
    <w:rsid w:val="009E2D2D"/>
    <w:rsid w:val="009E5D8A"/>
    <w:rsid w:val="009E6628"/>
    <w:rsid w:val="009F254D"/>
    <w:rsid w:val="009F3D0B"/>
    <w:rsid w:val="009F6719"/>
    <w:rsid w:val="009F7E87"/>
    <w:rsid w:val="00A02B54"/>
    <w:rsid w:val="00A02CEF"/>
    <w:rsid w:val="00A031B6"/>
    <w:rsid w:val="00A0464A"/>
    <w:rsid w:val="00A06544"/>
    <w:rsid w:val="00A07DA7"/>
    <w:rsid w:val="00A11005"/>
    <w:rsid w:val="00A12D57"/>
    <w:rsid w:val="00A14D62"/>
    <w:rsid w:val="00A16C20"/>
    <w:rsid w:val="00A24B7D"/>
    <w:rsid w:val="00A262D3"/>
    <w:rsid w:val="00A30041"/>
    <w:rsid w:val="00A3522C"/>
    <w:rsid w:val="00A361F7"/>
    <w:rsid w:val="00A36BCD"/>
    <w:rsid w:val="00A43425"/>
    <w:rsid w:val="00A474A5"/>
    <w:rsid w:val="00A5031F"/>
    <w:rsid w:val="00A50486"/>
    <w:rsid w:val="00A516B4"/>
    <w:rsid w:val="00A55236"/>
    <w:rsid w:val="00A5786F"/>
    <w:rsid w:val="00A6008D"/>
    <w:rsid w:val="00A7275A"/>
    <w:rsid w:val="00A81EE5"/>
    <w:rsid w:val="00A842B6"/>
    <w:rsid w:val="00A87AD7"/>
    <w:rsid w:val="00A90771"/>
    <w:rsid w:val="00A91EC9"/>
    <w:rsid w:val="00A91F77"/>
    <w:rsid w:val="00AB0E21"/>
    <w:rsid w:val="00AB27D2"/>
    <w:rsid w:val="00AB349D"/>
    <w:rsid w:val="00AB3B76"/>
    <w:rsid w:val="00AB6D7F"/>
    <w:rsid w:val="00AC3D6A"/>
    <w:rsid w:val="00AC44FE"/>
    <w:rsid w:val="00AD047E"/>
    <w:rsid w:val="00AD0D84"/>
    <w:rsid w:val="00AD1360"/>
    <w:rsid w:val="00AD1757"/>
    <w:rsid w:val="00AD2854"/>
    <w:rsid w:val="00AD2B8C"/>
    <w:rsid w:val="00AD2CFF"/>
    <w:rsid w:val="00AD3DFA"/>
    <w:rsid w:val="00AD54DD"/>
    <w:rsid w:val="00AD5DF5"/>
    <w:rsid w:val="00AE09F2"/>
    <w:rsid w:val="00AE2BB4"/>
    <w:rsid w:val="00AE2D45"/>
    <w:rsid w:val="00AE3F7F"/>
    <w:rsid w:val="00AE4217"/>
    <w:rsid w:val="00AE6B54"/>
    <w:rsid w:val="00AE7632"/>
    <w:rsid w:val="00AF19AA"/>
    <w:rsid w:val="00AF23FE"/>
    <w:rsid w:val="00AF2491"/>
    <w:rsid w:val="00AF4085"/>
    <w:rsid w:val="00AF435C"/>
    <w:rsid w:val="00AF5AE0"/>
    <w:rsid w:val="00AF5DC2"/>
    <w:rsid w:val="00AF6AD1"/>
    <w:rsid w:val="00B02625"/>
    <w:rsid w:val="00B0415D"/>
    <w:rsid w:val="00B04ABE"/>
    <w:rsid w:val="00B04DE3"/>
    <w:rsid w:val="00B12A65"/>
    <w:rsid w:val="00B132E7"/>
    <w:rsid w:val="00B14046"/>
    <w:rsid w:val="00B22A24"/>
    <w:rsid w:val="00B24843"/>
    <w:rsid w:val="00B25AEA"/>
    <w:rsid w:val="00B26B4F"/>
    <w:rsid w:val="00B3397F"/>
    <w:rsid w:val="00B34001"/>
    <w:rsid w:val="00B34273"/>
    <w:rsid w:val="00B35D2F"/>
    <w:rsid w:val="00B35FD1"/>
    <w:rsid w:val="00B3608D"/>
    <w:rsid w:val="00B365B1"/>
    <w:rsid w:val="00B37C2A"/>
    <w:rsid w:val="00B462A7"/>
    <w:rsid w:val="00B4670D"/>
    <w:rsid w:val="00B46EF0"/>
    <w:rsid w:val="00B47A17"/>
    <w:rsid w:val="00B544BD"/>
    <w:rsid w:val="00B574A7"/>
    <w:rsid w:val="00B577E3"/>
    <w:rsid w:val="00B63844"/>
    <w:rsid w:val="00B70650"/>
    <w:rsid w:val="00B70F2C"/>
    <w:rsid w:val="00B715C0"/>
    <w:rsid w:val="00B71B56"/>
    <w:rsid w:val="00B72887"/>
    <w:rsid w:val="00B73DD5"/>
    <w:rsid w:val="00B75DF5"/>
    <w:rsid w:val="00B81BFD"/>
    <w:rsid w:val="00B8449B"/>
    <w:rsid w:val="00B907C0"/>
    <w:rsid w:val="00B9083E"/>
    <w:rsid w:val="00B91F47"/>
    <w:rsid w:val="00B958A3"/>
    <w:rsid w:val="00BA08C7"/>
    <w:rsid w:val="00BA1940"/>
    <w:rsid w:val="00BA21BC"/>
    <w:rsid w:val="00BA2B92"/>
    <w:rsid w:val="00BA3133"/>
    <w:rsid w:val="00BA3CC4"/>
    <w:rsid w:val="00BA53C8"/>
    <w:rsid w:val="00BA738C"/>
    <w:rsid w:val="00BB0A0D"/>
    <w:rsid w:val="00BB173A"/>
    <w:rsid w:val="00BB55AE"/>
    <w:rsid w:val="00BB6137"/>
    <w:rsid w:val="00BB6821"/>
    <w:rsid w:val="00BC0D47"/>
    <w:rsid w:val="00BC1FC1"/>
    <w:rsid w:val="00BC2958"/>
    <w:rsid w:val="00BC3CC6"/>
    <w:rsid w:val="00BC6021"/>
    <w:rsid w:val="00BD03FE"/>
    <w:rsid w:val="00BD31A4"/>
    <w:rsid w:val="00BD32F7"/>
    <w:rsid w:val="00BD4940"/>
    <w:rsid w:val="00BD596C"/>
    <w:rsid w:val="00BD635E"/>
    <w:rsid w:val="00BE0875"/>
    <w:rsid w:val="00BE126B"/>
    <w:rsid w:val="00BE2971"/>
    <w:rsid w:val="00BF3AEB"/>
    <w:rsid w:val="00C02AE0"/>
    <w:rsid w:val="00C034E3"/>
    <w:rsid w:val="00C10F42"/>
    <w:rsid w:val="00C11385"/>
    <w:rsid w:val="00C11EFD"/>
    <w:rsid w:val="00C12921"/>
    <w:rsid w:val="00C165CE"/>
    <w:rsid w:val="00C23591"/>
    <w:rsid w:val="00C25C98"/>
    <w:rsid w:val="00C37699"/>
    <w:rsid w:val="00C449FD"/>
    <w:rsid w:val="00C47B5D"/>
    <w:rsid w:val="00C5018F"/>
    <w:rsid w:val="00C50678"/>
    <w:rsid w:val="00C565CF"/>
    <w:rsid w:val="00C611DE"/>
    <w:rsid w:val="00C6141F"/>
    <w:rsid w:val="00C654AB"/>
    <w:rsid w:val="00C6571B"/>
    <w:rsid w:val="00C70981"/>
    <w:rsid w:val="00C72C79"/>
    <w:rsid w:val="00C72F40"/>
    <w:rsid w:val="00C74B56"/>
    <w:rsid w:val="00C76DE6"/>
    <w:rsid w:val="00C8071A"/>
    <w:rsid w:val="00C8106F"/>
    <w:rsid w:val="00C82C5E"/>
    <w:rsid w:val="00C83802"/>
    <w:rsid w:val="00C84FC1"/>
    <w:rsid w:val="00C86A6B"/>
    <w:rsid w:val="00C87997"/>
    <w:rsid w:val="00C90B10"/>
    <w:rsid w:val="00C91458"/>
    <w:rsid w:val="00C94348"/>
    <w:rsid w:val="00CA26C1"/>
    <w:rsid w:val="00CA3920"/>
    <w:rsid w:val="00CA3BDD"/>
    <w:rsid w:val="00CA48DA"/>
    <w:rsid w:val="00CA55AF"/>
    <w:rsid w:val="00CA6477"/>
    <w:rsid w:val="00CA6781"/>
    <w:rsid w:val="00CB25E7"/>
    <w:rsid w:val="00CB2AC8"/>
    <w:rsid w:val="00CB36EB"/>
    <w:rsid w:val="00CB6C3B"/>
    <w:rsid w:val="00CB7187"/>
    <w:rsid w:val="00CB7C92"/>
    <w:rsid w:val="00CC17C9"/>
    <w:rsid w:val="00CC5FA3"/>
    <w:rsid w:val="00CC6C09"/>
    <w:rsid w:val="00CD1A19"/>
    <w:rsid w:val="00CD23AE"/>
    <w:rsid w:val="00CE02FD"/>
    <w:rsid w:val="00CE3149"/>
    <w:rsid w:val="00CE4F33"/>
    <w:rsid w:val="00CE5150"/>
    <w:rsid w:val="00CE6552"/>
    <w:rsid w:val="00CE7129"/>
    <w:rsid w:val="00CF38C0"/>
    <w:rsid w:val="00CF45E2"/>
    <w:rsid w:val="00CF5933"/>
    <w:rsid w:val="00CF5FAD"/>
    <w:rsid w:val="00D059C8"/>
    <w:rsid w:val="00D06968"/>
    <w:rsid w:val="00D104D1"/>
    <w:rsid w:val="00D10D26"/>
    <w:rsid w:val="00D164DD"/>
    <w:rsid w:val="00D17210"/>
    <w:rsid w:val="00D20FFD"/>
    <w:rsid w:val="00D21AF0"/>
    <w:rsid w:val="00D25970"/>
    <w:rsid w:val="00D3172D"/>
    <w:rsid w:val="00D33D3F"/>
    <w:rsid w:val="00D343E9"/>
    <w:rsid w:val="00D3580F"/>
    <w:rsid w:val="00D41734"/>
    <w:rsid w:val="00D4240F"/>
    <w:rsid w:val="00D42435"/>
    <w:rsid w:val="00D45B7E"/>
    <w:rsid w:val="00D46047"/>
    <w:rsid w:val="00D46A2E"/>
    <w:rsid w:val="00D548E4"/>
    <w:rsid w:val="00D576A6"/>
    <w:rsid w:val="00D61081"/>
    <w:rsid w:val="00D617E6"/>
    <w:rsid w:val="00D618E8"/>
    <w:rsid w:val="00D6191E"/>
    <w:rsid w:val="00D61B56"/>
    <w:rsid w:val="00D64ED1"/>
    <w:rsid w:val="00D64F20"/>
    <w:rsid w:val="00D662F3"/>
    <w:rsid w:val="00D66E4A"/>
    <w:rsid w:val="00D67162"/>
    <w:rsid w:val="00D71F2E"/>
    <w:rsid w:val="00D72749"/>
    <w:rsid w:val="00D72F3C"/>
    <w:rsid w:val="00D73300"/>
    <w:rsid w:val="00D7368E"/>
    <w:rsid w:val="00D81109"/>
    <w:rsid w:val="00D85812"/>
    <w:rsid w:val="00D872BB"/>
    <w:rsid w:val="00D90C26"/>
    <w:rsid w:val="00D910B5"/>
    <w:rsid w:val="00D916ED"/>
    <w:rsid w:val="00D94835"/>
    <w:rsid w:val="00D96FC4"/>
    <w:rsid w:val="00DA1478"/>
    <w:rsid w:val="00DA18E5"/>
    <w:rsid w:val="00DA27AC"/>
    <w:rsid w:val="00DA2CDA"/>
    <w:rsid w:val="00DA4713"/>
    <w:rsid w:val="00DA7585"/>
    <w:rsid w:val="00DA78CE"/>
    <w:rsid w:val="00DB2632"/>
    <w:rsid w:val="00DB35F8"/>
    <w:rsid w:val="00DB65B7"/>
    <w:rsid w:val="00DB6C2B"/>
    <w:rsid w:val="00DC1CC4"/>
    <w:rsid w:val="00DC2565"/>
    <w:rsid w:val="00DC37E3"/>
    <w:rsid w:val="00DC4C2E"/>
    <w:rsid w:val="00DC772A"/>
    <w:rsid w:val="00DD032C"/>
    <w:rsid w:val="00DD4CB4"/>
    <w:rsid w:val="00DD60DA"/>
    <w:rsid w:val="00DE2086"/>
    <w:rsid w:val="00DE53E3"/>
    <w:rsid w:val="00DE5471"/>
    <w:rsid w:val="00DE6C43"/>
    <w:rsid w:val="00DE6D61"/>
    <w:rsid w:val="00DF3568"/>
    <w:rsid w:val="00DF608D"/>
    <w:rsid w:val="00DF64F5"/>
    <w:rsid w:val="00DF69F4"/>
    <w:rsid w:val="00E0017D"/>
    <w:rsid w:val="00E00A16"/>
    <w:rsid w:val="00E016B9"/>
    <w:rsid w:val="00E057E9"/>
    <w:rsid w:val="00E05940"/>
    <w:rsid w:val="00E06522"/>
    <w:rsid w:val="00E06D29"/>
    <w:rsid w:val="00E10CF7"/>
    <w:rsid w:val="00E114A6"/>
    <w:rsid w:val="00E1150C"/>
    <w:rsid w:val="00E15FAC"/>
    <w:rsid w:val="00E20FD6"/>
    <w:rsid w:val="00E211FD"/>
    <w:rsid w:val="00E262F6"/>
    <w:rsid w:val="00E27EA5"/>
    <w:rsid w:val="00E3146C"/>
    <w:rsid w:val="00E33AF3"/>
    <w:rsid w:val="00E3571F"/>
    <w:rsid w:val="00E35C8E"/>
    <w:rsid w:val="00E35DEC"/>
    <w:rsid w:val="00E3601E"/>
    <w:rsid w:val="00E3797A"/>
    <w:rsid w:val="00E4072F"/>
    <w:rsid w:val="00E4123D"/>
    <w:rsid w:val="00E448CC"/>
    <w:rsid w:val="00E448D2"/>
    <w:rsid w:val="00E47B6E"/>
    <w:rsid w:val="00E51E2A"/>
    <w:rsid w:val="00E51F50"/>
    <w:rsid w:val="00E52147"/>
    <w:rsid w:val="00E521D4"/>
    <w:rsid w:val="00E53A3F"/>
    <w:rsid w:val="00E5528B"/>
    <w:rsid w:val="00E57D09"/>
    <w:rsid w:val="00E601D4"/>
    <w:rsid w:val="00E6048A"/>
    <w:rsid w:val="00E63896"/>
    <w:rsid w:val="00E74465"/>
    <w:rsid w:val="00E767B7"/>
    <w:rsid w:val="00E77989"/>
    <w:rsid w:val="00E8092A"/>
    <w:rsid w:val="00E846C1"/>
    <w:rsid w:val="00E854D2"/>
    <w:rsid w:val="00E85CCE"/>
    <w:rsid w:val="00E86743"/>
    <w:rsid w:val="00E867F7"/>
    <w:rsid w:val="00E93780"/>
    <w:rsid w:val="00EA01B6"/>
    <w:rsid w:val="00EA2058"/>
    <w:rsid w:val="00EA61FB"/>
    <w:rsid w:val="00EB1B3A"/>
    <w:rsid w:val="00EB3712"/>
    <w:rsid w:val="00EC3A37"/>
    <w:rsid w:val="00EC538E"/>
    <w:rsid w:val="00ED3257"/>
    <w:rsid w:val="00ED6AF1"/>
    <w:rsid w:val="00EE3519"/>
    <w:rsid w:val="00EE5CC9"/>
    <w:rsid w:val="00EF6BB3"/>
    <w:rsid w:val="00F03408"/>
    <w:rsid w:val="00F108D0"/>
    <w:rsid w:val="00F1221E"/>
    <w:rsid w:val="00F15702"/>
    <w:rsid w:val="00F17866"/>
    <w:rsid w:val="00F17F66"/>
    <w:rsid w:val="00F204E3"/>
    <w:rsid w:val="00F2102A"/>
    <w:rsid w:val="00F226C2"/>
    <w:rsid w:val="00F30DC7"/>
    <w:rsid w:val="00F3196D"/>
    <w:rsid w:val="00F32E08"/>
    <w:rsid w:val="00F340FC"/>
    <w:rsid w:val="00F34627"/>
    <w:rsid w:val="00F360D0"/>
    <w:rsid w:val="00F4115F"/>
    <w:rsid w:val="00F45EA8"/>
    <w:rsid w:val="00F5125B"/>
    <w:rsid w:val="00F536D4"/>
    <w:rsid w:val="00F55C6F"/>
    <w:rsid w:val="00F561A0"/>
    <w:rsid w:val="00F5674A"/>
    <w:rsid w:val="00F60E65"/>
    <w:rsid w:val="00F62664"/>
    <w:rsid w:val="00F62A2E"/>
    <w:rsid w:val="00F63BCC"/>
    <w:rsid w:val="00F71053"/>
    <w:rsid w:val="00F76B0E"/>
    <w:rsid w:val="00F76D12"/>
    <w:rsid w:val="00F8065E"/>
    <w:rsid w:val="00F81986"/>
    <w:rsid w:val="00F86344"/>
    <w:rsid w:val="00F86514"/>
    <w:rsid w:val="00F916F1"/>
    <w:rsid w:val="00F91A17"/>
    <w:rsid w:val="00F92C59"/>
    <w:rsid w:val="00F93D8D"/>
    <w:rsid w:val="00F94862"/>
    <w:rsid w:val="00F956D8"/>
    <w:rsid w:val="00F963E5"/>
    <w:rsid w:val="00F96E34"/>
    <w:rsid w:val="00F97D65"/>
    <w:rsid w:val="00FA0B55"/>
    <w:rsid w:val="00FA177A"/>
    <w:rsid w:val="00FA1B8C"/>
    <w:rsid w:val="00FA3C60"/>
    <w:rsid w:val="00FA70EE"/>
    <w:rsid w:val="00FB06B5"/>
    <w:rsid w:val="00FB0939"/>
    <w:rsid w:val="00FB104D"/>
    <w:rsid w:val="00FB132A"/>
    <w:rsid w:val="00FB3516"/>
    <w:rsid w:val="00FB4A9B"/>
    <w:rsid w:val="00FB54C2"/>
    <w:rsid w:val="00FB757E"/>
    <w:rsid w:val="00FC1AE2"/>
    <w:rsid w:val="00FC38B5"/>
    <w:rsid w:val="00FC63A1"/>
    <w:rsid w:val="00FC7721"/>
    <w:rsid w:val="00FD22CA"/>
    <w:rsid w:val="00FD43AA"/>
    <w:rsid w:val="00FE305C"/>
    <w:rsid w:val="00FE5F7C"/>
    <w:rsid w:val="00FE636F"/>
    <w:rsid w:val="00FF23B2"/>
    <w:rsid w:val="00FF59DD"/>
    <w:rsid w:val="02515359"/>
    <w:rsid w:val="034F2928"/>
    <w:rsid w:val="0533210B"/>
    <w:rsid w:val="06003A3F"/>
    <w:rsid w:val="07A92825"/>
    <w:rsid w:val="09CF47C3"/>
    <w:rsid w:val="0A505A94"/>
    <w:rsid w:val="0A64281B"/>
    <w:rsid w:val="0BF23C62"/>
    <w:rsid w:val="0D807E21"/>
    <w:rsid w:val="0DAD65A7"/>
    <w:rsid w:val="0DC70EAD"/>
    <w:rsid w:val="0E3B7B03"/>
    <w:rsid w:val="0E4709CC"/>
    <w:rsid w:val="0FF74C9F"/>
    <w:rsid w:val="11DF317C"/>
    <w:rsid w:val="12F70C48"/>
    <w:rsid w:val="16AA4F19"/>
    <w:rsid w:val="17190CFC"/>
    <w:rsid w:val="17DD7339"/>
    <w:rsid w:val="183865F8"/>
    <w:rsid w:val="183A204C"/>
    <w:rsid w:val="189E6ABD"/>
    <w:rsid w:val="19864414"/>
    <w:rsid w:val="1A385B5C"/>
    <w:rsid w:val="1C686019"/>
    <w:rsid w:val="1C860E7B"/>
    <w:rsid w:val="1FAE6F06"/>
    <w:rsid w:val="2025538F"/>
    <w:rsid w:val="208F30DB"/>
    <w:rsid w:val="20A85E05"/>
    <w:rsid w:val="2164456B"/>
    <w:rsid w:val="227B0BEC"/>
    <w:rsid w:val="234B7326"/>
    <w:rsid w:val="24392625"/>
    <w:rsid w:val="248024EA"/>
    <w:rsid w:val="257B4E19"/>
    <w:rsid w:val="25DB624F"/>
    <w:rsid w:val="280A7E4C"/>
    <w:rsid w:val="2BF7760A"/>
    <w:rsid w:val="2F8530AA"/>
    <w:rsid w:val="31205D07"/>
    <w:rsid w:val="31344D88"/>
    <w:rsid w:val="3299756D"/>
    <w:rsid w:val="329E2229"/>
    <w:rsid w:val="35284CDE"/>
    <w:rsid w:val="360639A4"/>
    <w:rsid w:val="37E444D0"/>
    <w:rsid w:val="387D7C13"/>
    <w:rsid w:val="38A02FD1"/>
    <w:rsid w:val="391951EC"/>
    <w:rsid w:val="39657AA9"/>
    <w:rsid w:val="39C02D71"/>
    <w:rsid w:val="3A802587"/>
    <w:rsid w:val="3AF80E1F"/>
    <w:rsid w:val="3DAE7B8B"/>
    <w:rsid w:val="3E1251D5"/>
    <w:rsid w:val="3E6D5331"/>
    <w:rsid w:val="3F4504E2"/>
    <w:rsid w:val="403646E7"/>
    <w:rsid w:val="404D6F25"/>
    <w:rsid w:val="411918A4"/>
    <w:rsid w:val="46421B87"/>
    <w:rsid w:val="46A36D36"/>
    <w:rsid w:val="4AA63C07"/>
    <w:rsid w:val="4AA6770F"/>
    <w:rsid w:val="4F50199C"/>
    <w:rsid w:val="52232583"/>
    <w:rsid w:val="52473694"/>
    <w:rsid w:val="530E314A"/>
    <w:rsid w:val="554C1DF1"/>
    <w:rsid w:val="56475A8C"/>
    <w:rsid w:val="57126048"/>
    <w:rsid w:val="57853398"/>
    <w:rsid w:val="57CE6CCF"/>
    <w:rsid w:val="57EF1159"/>
    <w:rsid w:val="595E36FC"/>
    <w:rsid w:val="5A2E4804"/>
    <w:rsid w:val="5A7A4333"/>
    <w:rsid w:val="5A937C42"/>
    <w:rsid w:val="5A9B7B5C"/>
    <w:rsid w:val="5B61282B"/>
    <w:rsid w:val="5DDB5188"/>
    <w:rsid w:val="5F60700B"/>
    <w:rsid w:val="605C66C3"/>
    <w:rsid w:val="60F70150"/>
    <w:rsid w:val="6194234D"/>
    <w:rsid w:val="61BD42A9"/>
    <w:rsid w:val="62284A47"/>
    <w:rsid w:val="64791ECB"/>
    <w:rsid w:val="64961602"/>
    <w:rsid w:val="65A66743"/>
    <w:rsid w:val="66FA0489"/>
    <w:rsid w:val="67604EF6"/>
    <w:rsid w:val="67735D60"/>
    <w:rsid w:val="67C9216E"/>
    <w:rsid w:val="683D6965"/>
    <w:rsid w:val="692C0C80"/>
    <w:rsid w:val="698711F2"/>
    <w:rsid w:val="69990F25"/>
    <w:rsid w:val="6AA67D9D"/>
    <w:rsid w:val="6AAB593B"/>
    <w:rsid w:val="6ACD5119"/>
    <w:rsid w:val="6B6A054F"/>
    <w:rsid w:val="6BD51DA2"/>
    <w:rsid w:val="6C423CA9"/>
    <w:rsid w:val="6C5C2D10"/>
    <w:rsid w:val="6DA803E9"/>
    <w:rsid w:val="6F384B29"/>
    <w:rsid w:val="701404A8"/>
    <w:rsid w:val="706E3D83"/>
    <w:rsid w:val="7185070D"/>
    <w:rsid w:val="76125986"/>
    <w:rsid w:val="76894DFB"/>
    <w:rsid w:val="77BD45B6"/>
    <w:rsid w:val="7BC9057A"/>
    <w:rsid w:val="7D7331E7"/>
    <w:rsid w:val="7DAB4D05"/>
    <w:rsid w:val="7E7232C9"/>
    <w:rsid w:val="7EC0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link w:val="41"/>
    <w:qFormat/>
    <w:uiPriority w:val="0"/>
    <w:pPr>
      <w:keepNext/>
      <w:ind w:right="284"/>
      <w:outlineLvl w:val="1"/>
    </w:pPr>
    <w:rPr>
      <w:rFonts w:ascii="Arial" w:hAnsi="Arial"/>
      <w:sz w:val="24"/>
    </w:rPr>
  </w:style>
  <w:style w:type="paragraph" w:styleId="4">
    <w:name w:val="heading 3"/>
    <w:basedOn w:val="3"/>
    <w:next w:val="1"/>
    <w:autoRedefine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4"/>
    <w:next w:val="1"/>
    <w:autoRedefine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6">
    <w:name w:val="heading 5"/>
    <w:basedOn w:val="1"/>
    <w:next w:val="1"/>
    <w:autoRedefine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autoRedefine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autoRedefine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autoRedefine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autoRedefine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autoRedefine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eastAsia="宋体"/>
      <w:b/>
      <w:bCs/>
      <w:kern w:val="2"/>
      <w:szCs w:val="20"/>
      <w:lang w:val="en-GB" w:eastAsia="zh-CN"/>
    </w:rPr>
  </w:style>
  <w:style w:type="paragraph" w:styleId="12">
    <w:name w:val="annotation text"/>
    <w:basedOn w:val="1"/>
    <w:link w:val="38"/>
    <w:autoRedefine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4"/>
    <w:autoRedefine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5">
    <w:name w:val="footer"/>
    <w:basedOn w:val="1"/>
    <w:autoRedefine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autoRedefine/>
    <w:semiHidden/>
    <w:qFormat/>
    <w:uiPriority w:val="0"/>
    <w:pPr>
      <w:spacing w:before="120" w:beforeLines="50" w:after="120" w:afterLines="50"/>
    </w:pPr>
    <w:rPr>
      <w:rFonts w:ascii="Arial" w:hAnsi="Arial" w:cs="Arial"/>
      <w:lang w:val="en-US" w:eastAsia="zh-CN"/>
    </w:rPr>
  </w:style>
  <w:style w:type="paragraph" w:styleId="17">
    <w:name w:val="List"/>
    <w:basedOn w:val="1"/>
    <w:autoRedefine/>
    <w:qFormat/>
    <w:uiPriority w:val="0"/>
    <w:pPr>
      <w:ind w:left="568" w:hanging="284"/>
    </w:pPr>
  </w:style>
  <w:style w:type="paragraph" w:styleId="18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9">
    <w:name w:val="annotation subject"/>
    <w:basedOn w:val="12"/>
    <w:next w:val="12"/>
    <w:link w:val="39"/>
    <w:autoRedefine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autoRedefine/>
    <w:semiHidden/>
    <w:qFormat/>
    <w:uiPriority w:val="0"/>
  </w:style>
  <w:style w:type="character" w:styleId="24">
    <w:name w:val="Hyperlink"/>
    <w:basedOn w:val="22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autoRedefine/>
    <w:semiHidden/>
    <w:qFormat/>
    <w:uiPriority w:val="0"/>
    <w:rPr>
      <w:sz w:val="16"/>
    </w:rPr>
  </w:style>
  <w:style w:type="paragraph" w:customStyle="1" w:styleId="26">
    <w:name w:val="B1"/>
    <w:basedOn w:val="17"/>
    <w:autoRedefine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autoRedefine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autoRedefine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autoRedefine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autoRedefine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autoRedefine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autoRedefine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autoRedefine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字符"/>
    <w:link w:val="14"/>
    <w:autoRedefine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customStyle="1" w:styleId="35">
    <w:name w:val="Agreement"/>
    <w:basedOn w:val="1"/>
    <w:next w:val="36"/>
    <w:autoRedefine/>
    <w:qFormat/>
    <w:uiPriority w:val="99"/>
    <w:pPr>
      <w:numPr>
        <w:ilvl w:val="0"/>
        <w:numId w:val="5"/>
      </w:numPr>
      <w:spacing w:before="60"/>
    </w:pPr>
    <w:rPr>
      <w:rFonts w:ascii="Arial" w:hAnsi="Arial" w:eastAsia="MS Mincho"/>
      <w:b/>
      <w:szCs w:val="24"/>
      <w:lang w:eastAsia="en-GB"/>
    </w:rPr>
  </w:style>
  <w:style w:type="paragraph" w:customStyle="1" w:styleId="36">
    <w:name w:val="Doc-text2"/>
    <w:basedOn w:val="1"/>
    <w:autoRedefine/>
    <w:qFormat/>
    <w:uiPriority w:val="0"/>
    <w:pPr>
      <w:tabs>
        <w:tab w:val="left" w:pos="1622"/>
      </w:tabs>
      <w:spacing w:before="0"/>
      <w:ind w:left="1622" w:hanging="363"/>
    </w:pPr>
  </w:style>
  <w:style w:type="paragraph" w:styleId="37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38">
    <w:name w:val="批注文字 字符"/>
    <w:basedOn w:val="22"/>
    <w:link w:val="12"/>
    <w:autoRedefine/>
    <w:semiHidden/>
    <w:qFormat/>
    <w:uiPriority w:val="0"/>
    <w:rPr>
      <w:rFonts w:ascii="Arial" w:hAnsi="Arial"/>
      <w:lang w:val="en-GB" w:eastAsia="en-US"/>
    </w:rPr>
  </w:style>
  <w:style w:type="character" w:customStyle="1" w:styleId="39">
    <w:name w:val="批注主题 字符"/>
    <w:basedOn w:val="38"/>
    <w:link w:val="19"/>
    <w:autoRedefine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40">
    <w:name w:val="未处理的提及1"/>
    <w:basedOn w:val="22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1">
    <w:name w:val="标题 2 字符"/>
    <w:basedOn w:val="22"/>
    <w:link w:val="3"/>
    <w:autoRedefine/>
    <w:qFormat/>
    <w:uiPriority w:val="0"/>
    <w:rPr>
      <w:rFonts w:ascii="Arial" w:hAnsi="Arial" w:eastAsiaTheme="minorEastAsia"/>
      <w:b/>
      <w:sz w:val="24"/>
      <w:lang w:val="en-GB" w:eastAsia="en-US"/>
    </w:rPr>
  </w:style>
  <w:style w:type="paragraph" w:customStyle="1" w:styleId="42">
    <w:name w:val="TH"/>
    <w:basedOn w:val="1"/>
    <w:autoRedefine/>
    <w:qFormat/>
    <w:uiPriority w:val="0"/>
    <w:pPr>
      <w:keepNext/>
      <w:keepLines/>
      <w:widowControl w:val="0"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Arial"/>
      <w:b/>
      <w:sz w:val="24"/>
      <w:szCs w:val="24"/>
      <w:lang w:val="en-US" w:eastAsia="zh-CN"/>
    </w:rPr>
  </w:style>
  <w:style w:type="paragraph" w:customStyle="1" w:styleId="43">
    <w:name w:val="TAN"/>
    <w:basedOn w:val="1"/>
    <w:autoRedefine/>
    <w:qFormat/>
    <w:uiPriority w:val="0"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/>
      <w:ind w:left="851" w:hanging="85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44">
    <w:name w:val="リスト段落1"/>
    <w:basedOn w:val="1"/>
    <w:autoRedefine/>
    <w:qFormat/>
    <w:uiPriority w:val="34"/>
    <w:pPr>
      <w:ind w:left="720"/>
    </w:pPr>
    <w:rPr>
      <w:rFonts w:ascii="Times New Roman" w:hAnsi="Times New Roman" w:eastAsia="MS Gothic"/>
      <w:sz w:val="24"/>
      <w:szCs w:val="20"/>
      <w:lang w:eastAsia="ko-KR"/>
    </w:rPr>
  </w:style>
  <w:style w:type="paragraph" w:customStyle="1" w:styleId="4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宋体" w:cs="Courier New"/>
      <w:color w:val="000000"/>
      <w:sz w:val="24"/>
      <w:szCs w:val="24"/>
      <w:lang w:val="en-US" w:eastAsia="zh-CN" w:bidi="ar-SA"/>
    </w:rPr>
  </w:style>
  <w:style w:type="paragraph" w:customStyle="1" w:styleId="46">
    <w:name w:val="Proposal"/>
    <w:basedOn w:val="13"/>
    <w:qFormat/>
    <w:uiPriority w:val="0"/>
    <w:pPr>
      <w:tabs>
        <w:tab w:val="left" w:pos="1701"/>
      </w:tabs>
      <w:spacing w:line="240" w:lineRule="auto"/>
    </w:pPr>
    <w:rPr>
      <w:rFonts w:ascii="Arial" w:hAnsi="Arial" w:eastAsia="等线"/>
      <w:b/>
      <w:bCs/>
      <w:sz w:val="20"/>
    </w:rPr>
  </w:style>
  <w:style w:type="paragraph" w:customStyle="1" w:styleId="47">
    <w:name w:val="Comments"/>
    <w:basedOn w:val="1"/>
    <w:qFormat/>
    <w:uiPriority w:val="0"/>
    <w:rPr>
      <w:i/>
      <w:sz w:val="18"/>
    </w:rPr>
  </w:style>
  <w:style w:type="paragraph" w:customStyle="1" w:styleId="48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D2F9C-B570-4F55-907C-8E66A62BB8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3</Pages>
  <Words>1512</Words>
  <Characters>7988</Characters>
  <Lines>91</Lines>
  <Paragraphs>25</Paragraphs>
  <TotalTime>0</TotalTime>
  <ScaleCrop>false</ScaleCrop>
  <LinksUpToDate>false</LinksUpToDate>
  <CharactersWithSpaces>9481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2022-09-22T03:40:00Z</dcterms:created>
  <dc:creator>CMCC</dc:creator>
  <cp:lastModifiedBy>CMCC</cp:lastModifiedBy>
  <cp:lastPrinted>2002-04-23T01:10:00Z</cp:lastPrinted>
  <dcterms:modified xsi:type="dcterms:W3CDTF">2024-11-08T08:35:47Z</dcterms:modified>
  <dc:title>3GPP contribution</dc:title>
  <cp:revision>888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E3366FC3FA23458897D6737DAF8AD9D6_13</vt:lpwstr>
  </property>
</Properties>
</file>